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E5C8A" w14:textId="4C2999A7" w:rsidR="00767AD9" w:rsidRPr="00725496" w:rsidRDefault="00767AD9" w:rsidP="00725496">
      <w:pPr>
        <w:spacing w:line="276" w:lineRule="auto"/>
        <w:ind w:firstLine="720"/>
        <w:jc w:val="center"/>
        <w:rPr>
          <w:b/>
        </w:rPr>
      </w:pPr>
      <w:bookmarkStart w:id="0" w:name="_GoBack"/>
      <w:bookmarkEnd w:id="0"/>
      <w:r w:rsidRPr="00725496">
        <w:rPr>
          <w:b/>
        </w:rPr>
        <w:t>Il silenzio assenso tra pubbliche am</w:t>
      </w:r>
      <w:r w:rsidR="00E647E8">
        <w:rPr>
          <w:b/>
        </w:rPr>
        <w:t>ministrazioni (il nuovo art. 17-</w:t>
      </w:r>
      <w:r w:rsidRPr="00E647E8">
        <w:rPr>
          <w:b/>
          <w:i/>
        </w:rPr>
        <w:t>bis</w:t>
      </w:r>
      <w:r w:rsidRPr="00725496">
        <w:rPr>
          <w:b/>
        </w:rPr>
        <w:t xml:space="preserve"> della l. n. 241 del 1990)</w:t>
      </w:r>
    </w:p>
    <w:p w14:paraId="484DF6B0" w14:textId="77777777" w:rsidR="00543792" w:rsidRDefault="009B4AA2" w:rsidP="00725496">
      <w:pPr>
        <w:spacing w:line="276" w:lineRule="auto"/>
        <w:ind w:firstLine="720"/>
        <w:jc w:val="center"/>
        <w:rPr>
          <w:i/>
        </w:rPr>
      </w:pPr>
      <w:r w:rsidRPr="00725496">
        <w:rPr>
          <w:i/>
        </w:rPr>
        <w:t>Intervento</w:t>
      </w:r>
      <w:r w:rsidR="00767AD9" w:rsidRPr="00725496">
        <w:rPr>
          <w:i/>
        </w:rPr>
        <w:t xml:space="preserve"> al Convegno </w:t>
      </w:r>
      <w:r w:rsidR="00543792">
        <w:rPr>
          <w:i/>
        </w:rPr>
        <w:t>“</w:t>
      </w:r>
      <w:r w:rsidR="00767AD9" w:rsidRPr="00543792">
        <w:t>I rimedi contro la cattiva amministrazione. Procedimento amministrativo ed attività produttive ed imprenditoriali</w:t>
      </w:r>
      <w:r w:rsidR="00543792">
        <w:rPr>
          <w:i/>
        </w:rPr>
        <w:t>”</w:t>
      </w:r>
      <w:r w:rsidR="00767AD9" w:rsidRPr="00725496">
        <w:rPr>
          <w:i/>
        </w:rPr>
        <w:t>,</w:t>
      </w:r>
    </w:p>
    <w:p w14:paraId="1760E7C3" w14:textId="2B9A1D9A" w:rsidR="00767AD9" w:rsidRPr="00725496" w:rsidRDefault="00767AD9" w:rsidP="00725496">
      <w:pPr>
        <w:spacing w:line="276" w:lineRule="auto"/>
        <w:ind w:firstLine="720"/>
        <w:jc w:val="center"/>
        <w:rPr>
          <w:i/>
        </w:rPr>
      </w:pPr>
      <w:r w:rsidRPr="00725496">
        <w:rPr>
          <w:i/>
        </w:rPr>
        <w:t>8-9 aprile 2016, Campobasso</w:t>
      </w:r>
    </w:p>
    <w:p w14:paraId="7BA7DE35" w14:textId="77777777" w:rsidR="00767AD9" w:rsidRPr="00725496" w:rsidRDefault="00767AD9" w:rsidP="00725496">
      <w:pPr>
        <w:spacing w:line="276" w:lineRule="auto"/>
        <w:ind w:firstLine="720"/>
      </w:pPr>
    </w:p>
    <w:p w14:paraId="72048432" w14:textId="77777777" w:rsidR="00767AD9" w:rsidRPr="00725496" w:rsidRDefault="00767AD9" w:rsidP="00725496">
      <w:pPr>
        <w:spacing w:line="276" w:lineRule="auto"/>
        <w:ind w:firstLine="720"/>
        <w:jc w:val="center"/>
      </w:pPr>
      <w:r w:rsidRPr="00725496">
        <w:t>di Flaminia Aperio Bella</w:t>
      </w:r>
    </w:p>
    <w:p w14:paraId="32507690" w14:textId="5AA66281" w:rsidR="00767AD9" w:rsidRPr="00725496" w:rsidRDefault="00767AD9" w:rsidP="00725496">
      <w:pPr>
        <w:spacing w:line="276" w:lineRule="auto"/>
        <w:ind w:firstLine="720"/>
        <w:jc w:val="center"/>
      </w:pPr>
      <w:r w:rsidRPr="00725496">
        <w:t>(dottore di ricerca Università degli Studi Roma Tre, assegnista di ricerca Università degli Studi di Firenze)</w:t>
      </w:r>
    </w:p>
    <w:p w14:paraId="53E14AA7" w14:textId="77777777" w:rsidR="00F04E8D" w:rsidRPr="00725496" w:rsidRDefault="00F04E8D" w:rsidP="00725496">
      <w:pPr>
        <w:spacing w:line="276" w:lineRule="auto"/>
        <w:ind w:firstLine="720"/>
        <w:jc w:val="center"/>
      </w:pPr>
    </w:p>
    <w:p w14:paraId="04F9C86E" w14:textId="77777777" w:rsidR="00F04E8D" w:rsidRPr="00725496" w:rsidRDefault="00F04E8D" w:rsidP="00725496">
      <w:pPr>
        <w:spacing w:line="276" w:lineRule="auto"/>
        <w:ind w:firstLine="720"/>
        <w:jc w:val="center"/>
      </w:pPr>
    </w:p>
    <w:p w14:paraId="725C6D85" w14:textId="7803A239" w:rsidR="002A1D9B" w:rsidRPr="002A1D9B" w:rsidRDefault="0087748C" w:rsidP="002A1D9B">
      <w:pPr>
        <w:spacing w:line="276" w:lineRule="auto"/>
        <w:ind w:firstLine="720"/>
        <w:jc w:val="both"/>
      </w:pPr>
      <w:r w:rsidRPr="00725496">
        <w:rPr>
          <w:rFonts w:ascii="Times New Roman" w:hAnsi="Times New Roman"/>
          <w:smallCaps/>
        </w:rPr>
        <w:t>Sommario</w:t>
      </w:r>
      <w:r w:rsidRPr="00725496">
        <w:rPr>
          <w:rFonts w:ascii="Times New Roman" w:hAnsi="Times New Roman"/>
        </w:rPr>
        <w:t>: 1. Premessa – 2. Il problema dell’applicazione dell’art. 17-</w:t>
      </w:r>
      <w:r w:rsidRPr="003A6060">
        <w:rPr>
          <w:rFonts w:ascii="Times New Roman" w:hAnsi="Times New Roman"/>
          <w:i/>
        </w:rPr>
        <w:t>bis</w:t>
      </w:r>
      <w:r w:rsidRPr="00725496">
        <w:rPr>
          <w:rFonts w:ascii="Times New Roman" w:hAnsi="Times New Roman"/>
        </w:rPr>
        <w:t xml:space="preserve"> agli atti di assenso delle amministrazioni preposte alla tutela di interessi sensibili – 3.</w:t>
      </w:r>
      <w:r w:rsidR="00105E5A" w:rsidRPr="00725496">
        <w:rPr>
          <w:rFonts w:ascii="Times New Roman" w:hAnsi="Times New Roman"/>
        </w:rPr>
        <w:t xml:space="preserve"> I r</w:t>
      </w:r>
      <w:r w:rsidR="003A6060">
        <w:rPr>
          <w:rFonts w:ascii="Times New Roman" w:hAnsi="Times New Roman"/>
        </w:rPr>
        <w:t>apporti tra l’art. 17-bis e la c</w:t>
      </w:r>
      <w:r w:rsidR="002A1D9B">
        <w:rPr>
          <w:rFonts w:ascii="Times New Roman" w:hAnsi="Times New Roman"/>
        </w:rPr>
        <w:t>onferenza di servizi – 4.</w:t>
      </w:r>
      <w:r w:rsidR="002A1D9B" w:rsidRPr="002A1D9B">
        <w:rPr>
          <w:b/>
        </w:rPr>
        <w:t xml:space="preserve"> </w:t>
      </w:r>
      <w:r w:rsidR="002A1D9B" w:rsidRPr="002A1D9B">
        <w:t xml:space="preserve">Il </w:t>
      </w:r>
      <w:r w:rsidR="007A3F6C">
        <w:t>nodo del rispetto</w:t>
      </w:r>
      <w:r w:rsidR="002A1D9B" w:rsidRPr="002A1D9B">
        <w:t xml:space="preserve"> delle autonomie regionali – 5. </w:t>
      </w:r>
      <w:r w:rsidR="0056706F">
        <w:t>Considerazioni conclusive.</w:t>
      </w:r>
    </w:p>
    <w:p w14:paraId="208F10E0" w14:textId="3C0EED06" w:rsidR="003A3583" w:rsidRPr="00725496" w:rsidRDefault="003A3583" w:rsidP="00725496">
      <w:pPr>
        <w:widowControl w:val="0"/>
        <w:autoSpaceDE w:val="0"/>
        <w:autoSpaceDN w:val="0"/>
        <w:adjustRightInd w:val="0"/>
        <w:spacing w:line="276" w:lineRule="auto"/>
        <w:ind w:firstLine="720"/>
        <w:jc w:val="both"/>
        <w:rPr>
          <w:rFonts w:ascii="Times New Roman" w:hAnsi="Times New Roman"/>
        </w:rPr>
      </w:pPr>
    </w:p>
    <w:p w14:paraId="75AE4AE0" w14:textId="2B8733B9" w:rsidR="0087748C" w:rsidRPr="00725496" w:rsidRDefault="0087748C"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 xml:space="preserve"> </w:t>
      </w:r>
    </w:p>
    <w:p w14:paraId="3A0F3110" w14:textId="2E5DC284" w:rsidR="00C80674" w:rsidRPr="00725496" w:rsidRDefault="00C80674" w:rsidP="00725496">
      <w:pPr>
        <w:widowControl w:val="0"/>
        <w:autoSpaceDE w:val="0"/>
        <w:autoSpaceDN w:val="0"/>
        <w:adjustRightInd w:val="0"/>
        <w:spacing w:line="276" w:lineRule="auto"/>
        <w:ind w:firstLine="720"/>
        <w:jc w:val="both"/>
        <w:rPr>
          <w:rFonts w:ascii="Times New Roman" w:hAnsi="Times New Roman"/>
          <w:b/>
        </w:rPr>
      </w:pPr>
      <w:r w:rsidRPr="00725496">
        <w:rPr>
          <w:rFonts w:ascii="Times New Roman" w:hAnsi="Times New Roman"/>
          <w:b/>
        </w:rPr>
        <w:t>1. Premessa</w:t>
      </w:r>
    </w:p>
    <w:p w14:paraId="07758704" w14:textId="77777777" w:rsidR="008E4FCD" w:rsidRPr="00725496" w:rsidRDefault="0042531C" w:rsidP="00725496">
      <w:pPr>
        <w:shd w:val="clear" w:color="auto" w:fill="FFFFFF"/>
        <w:spacing w:line="276" w:lineRule="auto"/>
        <w:jc w:val="both"/>
        <w:rPr>
          <w:rFonts w:ascii="Times New Roman" w:eastAsia="Times New Roman" w:hAnsi="Times New Roman" w:cs="Times New Roman"/>
          <w:lang w:eastAsia="it-IT"/>
        </w:rPr>
      </w:pPr>
      <w:r w:rsidRPr="00725496">
        <w:rPr>
          <w:rFonts w:ascii="Times New Roman" w:hAnsi="Times New Roman"/>
        </w:rPr>
        <w:t>Con l</w:t>
      </w:r>
      <w:r w:rsidR="00B95B89" w:rsidRPr="00725496">
        <w:rPr>
          <w:rFonts w:ascii="Times New Roman" w:hAnsi="Times New Roman"/>
        </w:rPr>
        <w:t>’art. 17-</w:t>
      </w:r>
      <w:r w:rsidR="00B95B89" w:rsidRPr="00725496">
        <w:rPr>
          <w:rFonts w:ascii="Times New Roman" w:hAnsi="Times New Roman"/>
          <w:i/>
        </w:rPr>
        <w:t>bis</w:t>
      </w:r>
      <w:r w:rsidR="00C52728" w:rsidRPr="00725496">
        <w:rPr>
          <w:rFonts w:ascii="Times New Roman" w:hAnsi="Times New Roman"/>
          <w:i/>
        </w:rPr>
        <w:t>,</w:t>
      </w:r>
      <w:r w:rsidR="00B95B89" w:rsidRPr="00725496">
        <w:rPr>
          <w:rFonts w:ascii="Times New Roman" w:hAnsi="Times New Roman"/>
        </w:rPr>
        <w:t xml:space="preserve"> </w:t>
      </w:r>
      <w:r w:rsidRPr="00725496">
        <w:rPr>
          <w:rFonts w:ascii="Times New Roman" w:hAnsi="Times New Roman"/>
        </w:rPr>
        <w:t xml:space="preserve">aggiunto alla </w:t>
      </w:r>
      <w:r w:rsidR="00C52728" w:rsidRPr="00725496">
        <w:rPr>
          <w:rFonts w:ascii="Times New Roman" w:hAnsi="Times New Roman"/>
        </w:rPr>
        <w:t>l. n. 241</w:t>
      </w:r>
      <w:r w:rsidR="0099261D" w:rsidRPr="00725496">
        <w:rPr>
          <w:rFonts w:ascii="Times New Roman" w:hAnsi="Times New Roman"/>
        </w:rPr>
        <w:t>/90, la c.d. l. M</w:t>
      </w:r>
      <w:r w:rsidRPr="00725496">
        <w:rPr>
          <w:rFonts w:ascii="Times New Roman" w:hAnsi="Times New Roman"/>
        </w:rPr>
        <w:t>adia</w:t>
      </w:r>
      <w:r w:rsidR="00C52728" w:rsidRPr="00725496">
        <w:rPr>
          <w:rFonts w:ascii="Times New Roman" w:hAnsi="Times New Roman"/>
        </w:rPr>
        <w:t xml:space="preserve"> </w:t>
      </w:r>
      <w:r w:rsidRPr="00725496">
        <w:rPr>
          <w:rFonts w:ascii="Times New Roman" w:hAnsi="Times New Roman"/>
        </w:rPr>
        <w:t xml:space="preserve">introduce il silenzio assenso per gli atti di </w:t>
      </w:r>
      <w:r w:rsidR="00B95B89" w:rsidRPr="00725496">
        <w:rPr>
          <w:rFonts w:ascii="Times New Roman" w:hAnsi="Times New Roman"/>
        </w:rPr>
        <w:t xml:space="preserve">assenso, concerto o nulla osta comunque denominati </w:t>
      </w:r>
      <w:r w:rsidR="0021457A" w:rsidRPr="00725496">
        <w:rPr>
          <w:rFonts w:ascii="Times New Roman" w:hAnsi="Times New Roman"/>
        </w:rPr>
        <w:t>che le Amministrazioni</w:t>
      </w:r>
      <w:r w:rsidRPr="00725496">
        <w:rPr>
          <w:rFonts w:ascii="Times New Roman" w:hAnsi="Times New Roman"/>
        </w:rPr>
        <w:t xml:space="preserve"> diverse da quelle procedenti devono rendere </w:t>
      </w:r>
      <w:r w:rsidR="00B95B89" w:rsidRPr="00725496">
        <w:rPr>
          <w:rFonts w:ascii="Times New Roman" w:hAnsi="Times New Roman"/>
        </w:rPr>
        <w:t>sullo schema di provvedimento, corredato della relativa documentazione, trasmesso da</w:t>
      </w:r>
      <w:r w:rsidRPr="00725496">
        <w:rPr>
          <w:rFonts w:ascii="Times New Roman" w:hAnsi="Times New Roman"/>
        </w:rPr>
        <w:t xml:space="preserve"> queste ultime</w:t>
      </w:r>
      <w:r w:rsidR="00B95B89" w:rsidRPr="00725496">
        <w:rPr>
          <w:rFonts w:ascii="Times New Roman" w:hAnsi="Times New Roman"/>
        </w:rPr>
        <w:t xml:space="preserve">. Decorso inutilmente il termine </w:t>
      </w:r>
      <w:r w:rsidRPr="00725496">
        <w:rPr>
          <w:rFonts w:ascii="Times New Roman" w:hAnsi="Times New Roman"/>
        </w:rPr>
        <w:t xml:space="preserve">di </w:t>
      </w:r>
      <w:r w:rsidR="00F568B8" w:rsidRPr="00725496">
        <w:rPr>
          <w:rFonts w:ascii="Times New Roman" w:hAnsi="Times New Roman"/>
        </w:rPr>
        <w:t>trenta</w:t>
      </w:r>
      <w:r w:rsidRPr="00725496">
        <w:rPr>
          <w:rFonts w:ascii="Times New Roman" w:hAnsi="Times New Roman"/>
        </w:rPr>
        <w:t xml:space="preserve"> </w:t>
      </w:r>
      <w:r w:rsidR="0021457A" w:rsidRPr="00725496">
        <w:rPr>
          <w:rFonts w:ascii="Times New Roman" w:hAnsi="Times New Roman"/>
        </w:rPr>
        <w:t>giorni</w:t>
      </w:r>
      <w:r w:rsidRPr="00725496">
        <w:rPr>
          <w:rFonts w:ascii="Times New Roman" w:hAnsi="Times New Roman"/>
        </w:rPr>
        <w:t xml:space="preserve"> </w:t>
      </w:r>
      <w:r w:rsidR="00B95B89" w:rsidRPr="00725496">
        <w:rPr>
          <w:rFonts w:ascii="Times New Roman" w:hAnsi="Times New Roman"/>
        </w:rPr>
        <w:t>senza che sia stato comunicato l’assenso, il concerto o il nulla osta “</w:t>
      </w:r>
      <w:r w:rsidR="00B95B89" w:rsidRPr="00725496">
        <w:rPr>
          <w:rFonts w:ascii="Times New Roman" w:hAnsi="Times New Roman"/>
          <w:i/>
        </w:rPr>
        <w:t>lo stesso si intende acquisito</w:t>
      </w:r>
      <w:r w:rsidR="00B95B89" w:rsidRPr="00725496">
        <w:rPr>
          <w:rFonts w:ascii="Times New Roman" w:hAnsi="Times New Roman"/>
        </w:rPr>
        <w:t>”.</w:t>
      </w:r>
      <w:r w:rsidR="008E4FCD" w:rsidRPr="00725496">
        <w:rPr>
          <w:rFonts w:ascii="Times New Roman" w:hAnsi="Times New Roman"/>
        </w:rPr>
        <w:t xml:space="preserve"> </w:t>
      </w:r>
      <w:r w:rsidR="008E4FCD" w:rsidRPr="00725496">
        <w:rPr>
          <w:rFonts w:ascii="Times New Roman" w:hAnsi="Times New Roman" w:cs="Times New Roman"/>
        </w:rPr>
        <w:t xml:space="preserve">Il previsto termine è </w:t>
      </w:r>
      <w:r w:rsidR="008E4FCD" w:rsidRPr="00725496">
        <w:rPr>
          <w:rFonts w:ascii="Times New Roman" w:eastAsia="Times New Roman" w:hAnsi="Times New Roman" w:cs="Times New Roman"/>
          <w:lang w:eastAsia="it-IT"/>
        </w:rPr>
        <w:t>suscettibile di un’unica interruzione nei casi in cui vengano rappresentate, nel termine stesso, esigenze istruttorie o motivate e puntuali richieste di modifica</w:t>
      </w:r>
      <w:r w:rsidR="008E4FCD" w:rsidRPr="00725496">
        <w:rPr>
          <w:rStyle w:val="Rimandonotaapidipagina"/>
          <w:rFonts w:ascii="Times New Roman" w:eastAsia="Times New Roman" w:hAnsi="Times New Roman" w:cs="Times New Roman"/>
          <w:lang w:eastAsia="it-IT"/>
        </w:rPr>
        <w:footnoteReference w:id="1"/>
      </w:r>
      <w:r w:rsidR="008E4FCD" w:rsidRPr="00725496">
        <w:rPr>
          <w:rFonts w:ascii="Times New Roman" w:eastAsia="Times New Roman" w:hAnsi="Times New Roman" w:cs="Times New Roman"/>
          <w:lang w:eastAsia="it-IT"/>
        </w:rPr>
        <w:t>.</w:t>
      </w:r>
    </w:p>
    <w:p w14:paraId="7FF603A0" w14:textId="77777777" w:rsidR="00762464" w:rsidRPr="00725496" w:rsidRDefault="00C52728" w:rsidP="00725496">
      <w:pPr>
        <w:shd w:val="clear" w:color="auto" w:fill="FFFFFF"/>
        <w:spacing w:line="276" w:lineRule="auto"/>
        <w:jc w:val="both"/>
        <w:rPr>
          <w:rFonts w:ascii="Times New Roman" w:eastAsia="Times New Roman" w:hAnsi="Times New Roman" w:cs="Times New Roman"/>
          <w:lang w:eastAsia="it-IT"/>
        </w:rPr>
      </w:pPr>
      <w:r w:rsidRPr="00725496">
        <w:rPr>
          <w:rFonts w:ascii="Times New Roman" w:hAnsi="Times New Roman"/>
        </w:rPr>
        <w:t xml:space="preserve">Lo stesso meccanismo opera anche ai casi in cui è prevista l'acquisizione di assensi, concerti o nulla osta comunque denominati di amministrazioni preposte alla tutela ambientale, paesaggistico-territoriale, dei beni culturali e della salute dei cittadini, </w:t>
      </w:r>
      <w:r w:rsidR="003509A0" w:rsidRPr="00725496">
        <w:rPr>
          <w:rFonts w:ascii="Times New Roman" w:hAnsi="Times New Roman"/>
        </w:rPr>
        <w:t xml:space="preserve">con  l’unica peculiarità della previsione di </w:t>
      </w:r>
      <w:r w:rsidR="00DC5716" w:rsidRPr="00725496">
        <w:rPr>
          <w:rFonts w:ascii="Times New Roman" w:hAnsi="Times New Roman"/>
        </w:rPr>
        <w:t xml:space="preserve">un più lungo termine </w:t>
      </w:r>
      <w:r w:rsidR="003509A0" w:rsidRPr="00725496">
        <w:rPr>
          <w:rFonts w:ascii="Times New Roman" w:hAnsi="Times New Roman"/>
        </w:rPr>
        <w:t xml:space="preserve">di </w:t>
      </w:r>
      <w:r w:rsidR="00F568B8" w:rsidRPr="00725496">
        <w:rPr>
          <w:rFonts w:ascii="Times New Roman" w:hAnsi="Times New Roman"/>
        </w:rPr>
        <w:t>novanta</w:t>
      </w:r>
      <w:r w:rsidR="003509A0" w:rsidRPr="00725496">
        <w:rPr>
          <w:rFonts w:ascii="Times New Roman" w:hAnsi="Times New Roman"/>
        </w:rPr>
        <w:t xml:space="preserve"> giorni </w:t>
      </w:r>
      <w:r w:rsidR="00DC5716" w:rsidRPr="00725496">
        <w:rPr>
          <w:rFonts w:ascii="Times New Roman" w:hAnsi="Times New Roman"/>
        </w:rPr>
        <w:t>per la formazione del silenzio assens</w:t>
      </w:r>
      <w:r w:rsidR="003509A0" w:rsidRPr="00725496">
        <w:rPr>
          <w:rFonts w:ascii="Times New Roman" w:hAnsi="Times New Roman"/>
        </w:rPr>
        <w:t>o.</w:t>
      </w:r>
      <w:r w:rsidR="00762464" w:rsidRPr="00725496">
        <w:rPr>
          <w:rFonts w:ascii="Times New Roman" w:hAnsi="Times New Roman"/>
        </w:rPr>
        <w:t xml:space="preserve"> </w:t>
      </w:r>
      <w:r w:rsidR="00762464" w:rsidRPr="00725496">
        <w:rPr>
          <w:rFonts w:ascii="Times New Roman" w:eastAsia="Times New Roman" w:hAnsi="Times New Roman" w:cs="Times New Roman"/>
          <w:lang w:eastAsia="it-IT"/>
        </w:rPr>
        <w:t>L’unica espressa eccezione al silenzio significativo riguarda i casi in cui l’ordinamento eurounitario richieda l’adozione di provvedimenti espressi.</w:t>
      </w:r>
    </w:p>
    <w:p w14:paraId="7A60DEFA" w14:textId="44CC89C4" w:rsidR="00DC5716" w:rsidRPr="00725496" w:rsidRDefault="00C52728" w:rsidP="00725496">
      <w:pPr>
        <w:spacing w:line="276" w:lineRule="auto"/>
        <w:ind w:firstLine="720"/>
        <w:jc w:val="both"/>
      </w:pPr>
      <w:r w:rsidRPr="00725496">
        <w:rPr>
          <w:rFonts w:ascii="Times New Roman" w:hAnsi="Times New Roman"/>
        </w:rPr>
        <w:t>L’intento legislativo</w:t>
      </w:r>
      <w:r w:rsidR="00DC5716" w:rsidRPr="00725496">
        <w:rPr>
          <w:rFonts w:ascii="Times New Roman" w:hAnsi="Times New Roman"/>
        </w:rPr>
        <w:t>, dichiarato dalla stessa</w:t>
      </w:r>
      <w:r w:rsidRPr="00725496">
        <w:rPr>
          <w:rFonts w:ascii="Times New Roman" w:hAnsi="Times New Roman"/>
        </w:rPr>
        <w:t xml:space="preserve"> </w:t>
      </w:r>
      <w:r w:rsidR="00DC5716" w:rsidRPr="00725496">
        <w:t>Presidenza del Consiglio nella presentazione del</w:t>
      </w:r>
      <w:r w:rsidR="00D81AB1" w:rsidRPr="00725496">
        <w:t>la l. n. 124</w:t>
      </w:r>
      <w:r w:rsidR="00F568B8" w:rsidRPr="00725496">
        <w:rPr>
          <w:rStyle w:val="Rimandonotaapidipagina"/>
        </w:rPr>
        <w:footnoteReference w:id="2"/>
      </w:r>
      <w:r w:rsidR="00F568B8" w:rsidRPr="00725496">
        <w:t>,</w:t>
      </w:r>
      <w:r w:rsidR="00D81AB1" w:rsidRPr="00725496">
        <w:t xml:space="preserve"> sarebbe quello di </w:t>
      </w:r>
      <w:r w:rsidR="00AB7749" w:rsidRPr="00725496">
        <w:t>“</w:t>
      </w:r>
      <w:r w:rsidR="00DC5716" w:rsidRPr="00725496">
        <w:t>sem</w:t>
      </w:r>
      <w:r w:rsidR="00D81AB1" w:rsidRPr="00725496">
        <w:t>plificare la vita dei cittadini</w:t>
      </w:r>
      <w:r w:rsidR="00AB7749" w:rsidRPr="00725496">
        <w:t>”</w:t>
      </w:r>
      <w:r w:rsidR="00D81AB1" w:rsidRPr="00725496">
        <w:t xml:space="preserve">, </w:t>
      </w:r>
      <w:r w:rsidR="00AB7749" w:rsidRPr="00725496">
        <w:t>“</w:t>
      </w:r>
      <w:r w:rsidR="00D81AB1" w:rsidRPr="00725496">
        <w:t>aiutare chi investe</w:t>
      </w:r>
      <w:r w:rsidR="00AB7749" w:rsidRPr="00725496">
        <w:t>”</w:t>
      </w:r>
      <w:r w:rsidR="00D81AB1" w:rsidRPr="00725496">
        <w:t xml:space="preserve">, </w:t>
      </w:r>
      <w:r w:rsidR="00AB7749" w:rsidRPr="00725496">
        <w:t>“</w:t>
      </w:r>
      <w:r w:rsidR="00DC5716" w:rsidRPr="00725496">
        <w:t>tagliare gli</w:t>
      </w:r>
      <w:r w:rsidR="00D81AB1" w:rsidRPr="00725496">
        <w:t xml:space="preserve"> sprechi</w:t>
      </w:r>
      <w:r w:rsidR="00AB7749" w:rsidRPr="00725496">
        <w:t xml:space="preserve"> e </w:t>
      </w:r>
      <w:r w:rsidR="00D81AB1" w:rsidRPr="00725496">
        <w:t>migliorare i servizi</w:t>
      </w:r>
      <w:r w:rsidR="00AB7749" w:rsidRPr="00725496">
        <w:t>”</w:t>
      </w:r>
      <w:r w:rsidR="00AB7749" w:rsidRPr="00725496">
        <w:rPr>
          <w:rStyle w:val="Rimandonotaapidipagina"/>
        </w:rPr>
        <w:footnoteReference w:id="3"/>
      </w:r>
      <w:r w:rsidR="00DC5716" w:rsidRPr="00725496">
        <w:t xml:space="preserve">. Di proporre, in altri termini, un rimedio </w:t>
      </w:r>
      <w:r w:rsidR="003509A0" w:rsidRPr="00725496">
        <w:t>alla</w:t>
      </w:r>
      <w:r w:rsidR="00DC5716" w:rsidRPr="00725496">
        <w:t xml:space="preserve"> “cattiva amministrazione”.</w:t>
      </w:r>
    </w:p>
    <w:p w14:paraId="7157251D" w14:textId="456407D1" w:rsidR="003509A0" w:rsidRPr="00725496" w:rsidRDefault="003509A0" w:rsidP="00725496">
      <w:pPr>
        <w:spacing w:line="276" w:lineRule="auto"/>
        <w:ind w:firstLine="720"/>
        <w:jc w:val="both"/>
      </w:pPr>
      <w:r w:rsidRPr="00725496">
        <w:lastRenderedPageBreak/>
        <w:t xml:space="preserve">Nel rispetto dei tempi concessi, </w:t>
      </w:r>
      <w:r w:rsidR="0042531C" w:rsidRPr="00725496">
        <w:t>vorrei illustrare</w:t>
      </w:r>
      <w:r w:rsidRPr="00725496">
        <w:t xml:space="preserve"> alcune problematiche po</w:t>
      </w:r>
      <w:r w:rsidR="0042531C" w:rsidRPr="00725496">
        <w:t>ste dal</w:t>
      </w:r>
      <w:r w:rsidRPr="00725496">
        <w:t xml:space="preserve">l’istituto per verificare se, e in che termini, </w:t>
      </w:r>
      <w:r w:rsidR="0042531C" w:rsidRPr="00725496">
        <w:t xml:space="preserve">esso </w:t>
      </w:r>
      <w:r w:rsidRPr="00725496">
        <w:t xml:space="preserve">sia </w:t>
      </w:r>
      <w:r w:rsidR="0042531C" w:rsidRPr="00725496">
        <w:t xml:space="preserve">effettivamente </w:t>
      </w:r>
      <w:r w:rsidRPr="00725496">
        <w:t xml:space="preserve">in grado di </w:t>
      </w:r>
      <w:r w:rsidR="00F568B8" w:rsidRPr="00725496">
        <w:t>perseguire l’obiettivo prefissato</w:t>
      </w:r>
      <w:r w:rsidRPr="00725496">
        <w:t>.</w:t>
      </w:r>
    </w:p>
    <w:p w14:paraId="3737B2F6" w14:textId="77777777" w:rsidR="00DC5716" w:rsidRPr="00725496" w:rsidRDefault="00DC5716" w:rsidP="00725496">
      <w:pPr>
        <w:spacing w:line="276" w:lineRule="auto"/>
        <w:ind w:firstLine="720"/>
        <w:jc w:val="both"/>
      </w:pPr>
    </w:p>
    <w:p w14:paraId="6ED950B8" w14:textId="345E329A" w:rsidR="00C52728" w:rsidRPr="00725496" w:rsidRDefault="0087748C"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b/>
        </w:rPr>
        <w:t>2.</w:t>
      </w:r>
      <w:r w:rsidR="000E4AB5" w:rsidRPr="00725496">
        <w:rPr>
          <w:rFonts w:ascii="Times New Roman" w:hAnsi="Times New Roman"/>
          <w:b/>
        </w:rPr>
        <w:t xml:space="preserve"> Il problema dell’applicazione dell’art. 17-</w:t>
      </w:r>
      <w:r w:rsidR="000E4AB5" w:rsidRPr="00725496">
        <w:rPr>
          <w:rFonts w:ascii="Times New Roman" w:hAnsi="Times New Roman"/>
          <w:b/>
          <w:i/>
        </w:rPr>
        <w:t>bis</w:t>
      </w:r>
      <w:r w:rsidR="000E4AB5" w:rsidRPr="00725496">
        <w:rPr>
          <w:rFonts w:ascii="Times New Roman" w:hAnsi="Times New Roman"/>
          <w:b/>
        </w:rPr>
        <w:t xml:space="preserve"> </w:t>
      </w:r>
      <w:r w:rsidR="00F15399" w:rsidRPr="00725496">
        <w:rPr>
          <w:rFonts w:ascii="Times New Roman" w:hAnsi="Times New Roman"/>
          <w:b/>
        </w:rPr>
        <w:t>agli atti di assenso delle amministrazioni preposte alla tutela di interessi sensibili</w:t>
      </w:r>
      <w:r w:rsidR="00F15399" w:rsidRPr="00725496">
        <w:rPr>
          <w:rFonts w:ascii="Times New Roman" w:hAnsi="Times New Roman"/>
        </w:rPr>
        <w:t>.</w:t>
      </w:r>
    </w:p>
    <w:p w14:paraId="21FA9C61" w14:textId="0D4E68DC" w:rsidR="00407453" w:rsidRPr="00725496" w:rsidRDefault="00407453"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Il profilo che ha destato maggiori perplessità in dottrina è quello dell’applicazione dell’art. 17-</w:t>
      </w:r>
      <w:r w:rsidRPr="00725496">
        <w:rPr>
          <w:rFonts w:ascii="Times New Roman" w:hAnsi="Times New Roman"/>
          <w:i/>
        </w:rPr>
        <w:t>bis</w:t>
      </w:r>
      <w:r w:rsidRPr="00725496">
        <w:rPr>
          <w:rFonts w:ascii="Times New Roman" w:hAnsi="Times New Roman"/>
        </w:rPr>
        <w:t xml:space="preserve"> agli atti di assenso delle amminist</w:t>
      </w:r>
      <w:r w:rsidR="00216ED3">
        <w:rPr>
          <w:rFonts w:ascii="Times New Roman" w:hAnsi="Times New Roman"/>
        </w:rPr>
        <w:t>razioni preposte alla tutela de</w:t>
      </w:r>
      <w:r w:rsidR="001F25D7">
        <w:rPr>
          <w:rFonts w:ascii="Times New Roman" w:hAnsi="Times New Roman"/>
        </w:rPr>
        <w:t xml:space="preserve">i c.d. </w:t>
      </w:r>
      <w:r w:rsidRPr="00725496">
        <w:rPr>
          <w:rFonts w:ascii="Times New Roman" w:hAnsi="Times New Roman"/>
        </w:rPr>
        <w:t>interessi sensibili</w:t>
      </w:r>
      <w:r w:rsidRPr="00725496">
        <w:rPr>
          <w:rStyle w:val="Rimandonotaapidipagina"/>
          <w:rFonts w:ascii="Times New Roman" w:hAnsi="Times New Roman"/>
        </w:rPr>
        <w:footnoteReference w:id="4"/>
      </w:r>
      <w:r w:rsidRPr="00725496">
        <w:rPr>
          <w:rFonts w:ascii="Times New Roman" w:hAnsi="Times New Roman"/>
        </w:rPr>
        <w:t>.</w:t>
      </w:r>
      <w:r w:rsidR="00A20485" w:rsidRPr="00725496">
        <w:rPr>
          <w:rFonts w:ascii="Times New Roman" w:hAnsi="Times New Roman"/>
        </w:rPr>
        <w:t xml:space="preserve"> </w:t>
      </w:r>
    </w:p>
    <w:p w14:paraId="264E00B1" w14:textId="77777777" w:rsidR="00A20485" w:rsidRPr="00725496" w:rsidRDefault="00407453"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 xml:space="preserve">Tra gli argomenti </w:t>
      </w:r>
      <w:r w:rsidR="00A20485" w:rsidRPr="00725496">
        <w:rPr>
          <w:rFonts w:ascii="Times New Roman" w:hAnsi="Times New Roman"/>
        </w:rPr>
        <w:t>che renderebbero la disposizione in esame incompatibile con il sistema sono addotti:</w:t>
      </w:r>
    </w:p>
    <w:p w14:paraId="197D5CC5" w14:textId="6883E97C" w:rsidR="00407453" w:rsidRPr="00725496" w:rsidRDefault="00555684"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(i)</w:t>
      </w:r>
      <w:r w:rsidR="00A20485" w:rsidRPr="00725496">
        <w:rPr>
          <w:rFonts w:ascii="Times New Roman" w:hAnsi="Times New Roman"/>
        </w:rPr>
        <w:t xml:space="preserve"> pronunce della Corte costituzionale e della Corte di Giustizia che </w:t>
      </w:r>
      <w:r w:rsidR="0042531C" w:rsidRPr="00725496">
        <w:rPr>
          <w:rFonts w:ascii="Times New Roman" w:hAnsi="Times New Roman"/>
        </w:rPr>
        <w:t xml:space="preserve">affermerebbero la </w:t>
      </w:r>
      <w:r w:rsidR="00A20485" w:rsidRPr="00725496">
        <w:rPr>
          <w:rFonts w:ascii="Times New Roman" w:hAnsi="Times New Roman"/>
        </w:rPr>
        <w:t xml:space="preserve">necessità di un provvedimento espresso quando siano coinvolti </w:t>
      </w:r>
      <w:r w:rsidR="0042531C" w:rsidRPr="00725496">
        <w:rPr>
          <w:rFonts w:ascii="Times New Roman" w:hAnsi="Times New Roman"/>
        </w:rPr>
        <w:t xml:space="preserve">i </w:t>
      </w:r>
      <w:r w:rsidR="00A20485" w:rsidRPr="00725496">
        <w:rPr>
          <w:rFonts w:ascii="Times New Roman" w:hAnsi="Times New Roman"/>
        </w:rPr>
        <w:t>suddetti interessi</w:t>
      </w:r>
      <w:r w:rsidR="0042531C" w:rsidRPr="00725496">
        <w:rPr>
          <w:rFonts w:ascii="Times New Roman" w:hAnsi="Times New Roman"/>
        </w:rPr>
        <w:t>;</w:t>
      </w:r>
      <w:r w:rsidR="00A20485" w:rsidRPr="00725496">
        <w:rPr>
          <w:rFonts w:ascii="Times New Roman" w:hAnsi="Times New Roman"/>
        </w:rPr>
        <w:t xml:space="preserve"> </w:t>
      </w:r>
    </w:p>
    <w:p w14:paraId="795CBC91" w14:textId="69CB1A09" w:rsidR="00A20485" w:rsidRPr="00725496" w:rsidRDefault="00555684"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(ii)</w:t>
      </w:r>
      <w:r w:rsidR="00A20485" w:rsidRPr="00725496">
        <w:rPr>
          <w:rFonts w:ascii="Times New Roman" w:hAnsi="Times New Roman"/>
        </w:rPr>
        <w:t xml:space="preserve"> </w:t>
      </w:r>
      <w:r w:rsidR="00D27337" w:rsidRPr="00725496">
        <w:rPr>
          <w:rFonts w:ascii="Times New Roman" w:hAnsi="Times New Roman"/>
        </w:rPr>
        <w:t>l’incoerenza</w:t>
      </w:r>
      <w:r w:rsidR="00ED1596" w:rsidRPr="00725496">
        <w:rPr>
          <w:rFonts w:ascii="Times New Roman" w:hAnsi="Times New Roman"/>
        </w:rPr>
        <w:t xml:space="preserve"> </w:t>
      </w:r>
      <w:r w:rsidR="00F31F32" w:rsidRPr="00725496">
        <w:rPr>
          <w:rFonts w:ascii="Times New Roman" w:hAnsi="Times New Roman"/>
        </w:rPr>
        <w:t xml:space="preserve">con l’art. 20, comma 4 </w:t>
      </w:r>
      <w:r w:rsidR="00446560" w:rsidRPr="00725496">
        <w:rPr>
          <w:rFonts w:ascii="Times New Roman" w:hAnsi="Times New Roman"/>
        </w:rPr>
        <w:t xml:space="preserve">della stessa l. n. 241/1990 </w:t>
      </w:r>
      <w:r w:rsidR="00266EF9" w:rsidRPr="00725496">
        <w:rPr>
          <w:rFonts w:ascii="Times New Roman" w:hAnsi="Times New Roman"/>
        </w:rPr>
        <w:t xml:space="preserve">e la disparità di trattamento </w:t>
      </w:r>
      <w:r w:rsidR="00ED1596" w:rsidRPr="00725496">
        <w:rPr>
          <w:rFonts w:ascii="Times New Roman" w:hAnsi="Times New Roman"/>
        </w:rPr>
        <w:t xml:space="preserve">di </w:t>
      </w:r>
      <w:r w:rsidR="00266EF9" w:rsidRPr="00725496">
        <w:rPr>
          <w:rFonts w:ascii="Times New Roman" w:hAnsi="Times New Roman"/>
        </w:rPr>
        <w:t xml:space="preserve">un sistema che, a fronte di determinati interessi di particolare rilevanza, </w:t>
      </w:r>
      <w:r w:rsidR="009D74E6" w:rsidRPr="00725496">
        <w:rPr>
          <w:rFonts w:ascii="Times New Roman" w:hAnsi="Times New Roman"/>
        </w:rPr>
        <w:t xml:space="preserve">esclude il silenzio assenso </w:t>
      </w:r>
      <w:r w:rsidR="00D27337" w:rsidRPr="00725496">
        <w:rPr>
          <w:rFonts w:ascii="Times New Roman" w:hAnsi="Times New Roman"/>
        </w:rPr>
        <w:t>su istanze del</w:t>
      </w:r>
      <w:r w:rsidR="00266EF9" w:rsidRPr="00725496">
        <w:rPr>
          <w:rFonts w:ascii="Times New Roman" w:hAnsi="Times New Roman"/>
        </w:rPr>
        <w:t xml:space="preserve"> privato, consentendo invece l’operatività dell’istituto quando l’apporto dell’amministrazione preposta alla tutela dei riferiti interessi intervenga su richiesta di un’altra p.A.</w:t>
      </w:r>
      <w:r w:rsidR="00D27337" w:rsidRPr="00725496">
        <w:rPr>
          <w:rStyle w:val="Rimandonotaapidipagina"/>
          <w:rFonts w:ascii="Times New Roman" w:hAnsi="Times New Roman"/>
        </w:rPr>
        <w:footnoteReference w:id="5"/>
      </w:r>
      <w:r w:rsidR="0084457A" w:rsidRPr="00725496">
        <w:rPr>
          <w:rFonts w:ascii="Times New Roman" w:hAnsi="Times New Roman"/>
        </w:rPr>
        <w:t>.</w:t>
      </w:r>
    </w:p>
    <w:p w14:paraId="75BB000F" w14:textId="00BCF02F" w:rsidR="00407453" w:rsidRPr="00725496" w:rsidRDefault="00F31F32"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Con riferimento al</w:t>
      </w:r>
      <w:r w:rsidR="00AE029D" w:rsidRPr="00725496">
        <w:rPr>
          <w:rFonts w:ascii="Times New Roman" w:hAnsi="Times New Roman"/>
        </w:rPr>
        <w:t xml:space="preserve"> primo argomento, </w:t>
      </w:r>
      <w:r w:rsidRPr="00725496">
        <w:rPr>
          <w:rFonts w:ascii="Times New Roman" w:hAnsi="Times New Roman"/>
        </w:rPr>
        <w:t>occorre dare conto che</w:t>
      </w:r>
      <w:r w:rsidR="00AE029D" w:rsidRPr="00725496">
        <w:rPr>
          <w:rFonts w:ascii="Times New Roman" w:hAnsi="Times New Roman"/>
        </w:rPr>
        <w:t xml:space="preserve"> la giurisprudenza costituzionale intervenuta sul tema</w:t>
      </w:r>
      <w:r w:rsidRPr="00725496">
        <w:rPr>
          <w:rFonts w:ascii="Times New Roman" w:hAnsi="Times New Roman"/>
        </w:rPr>
        <w:t>, quando non troppo risalente per risultare dirimente alla luce del rinnovato quadro normativo</w:t>
      </w:r>
      <w:r w:rsidRPr="00725496">
        <w:rPr>
          <w:rStyle w:val="Rimandonotaapidipagina"/>
          <w:rFonts w:ascii="Times New Roman" w:hAnsi="Times New Roman"/>
        </w:rPr>
        <w:footnoteReference w:id="6"/>
      </w:r>
      <w:r w:rsidRPr="00725496">
        <w:rPr>
          <w:rFonts w:ascii="Times New Roman" w:hAnsi="Times New Roman"/>
        </w:rPr>
        <w:t>,</w:t>
      </w:r>
      <w:r w:rsidR="00AE029D" w:rsidRPr="00725496">
        <w:rPr>
          <w:rFonts w:ascii="Times New Roman" w:hAnsi="Times New Roman"/>
        </w:rPr>
        <w:t xml:space="preserve"> </w:t>
      </w:r>
      <w:r w:rsidR="009D74E6" w:rsidRPr="00725496">
        <w:rPr>
          <w:rFonts w:ascii="Times New Roman" w:hAnsi="Times New Roman"/>
        </w:rPr>
        <w:t>è intervenuta in riferimento a eccezioni di l</w:t>
      </w:r>
      <w:r w:rsidR="00446560" w:rsidRPr="00725496">
        <w:rPr>
          <w:rFonts w:ascii="Times New Roman" w:hAnsi="Times New Roman"/>
        </w:rPr>
        <w:t>egittimità</w:t>
      </w:r>
      <w:r w:rsidR="009D74E6" w:rsidRPr="00725496">
        <w:rPr>
          <w:rFonts w:ascii="Times New Roman" w:hAnsi="Times New Roman"/>
        </w:rPr>
        <w:t xml:space="preserve"> c</w:t>
      </w:r>
      <w:r w:rsidR="00C74ACB" w:rsidRPr="00725496">
        <w:rPr>
          <w:rFonts w:ascii="Times New Roman" w:hAnsi="Times New Roman"/>
        </w:rPr>
        <w:t>os</w:t>
      </w:r>
      <w:r w:rsidR="00446560" w:rsidRPr="00725496">
        <w:rPr>
          <w:rFonts w:ascii="Times New Roman" w:hAnsi="Times New Roman"/>
        </w:rPr>
        <w:t>ti</w:t>
      </w:r>
      <w:r w:rsidR="00C74ACB" w:rsidRPr="00725496">
        <w:rPr>
          <w:rFonts w:ascii="Times New Roman" w:hAnsi="Times New Roman"/>
        </w:rPr>
        <w:t>tu</w:t>
      </w:r>
      <w:r w:rsidR="00446560" w:rsidRPr="00725496">
        <w:rPr>
          <w:rFonts w:ascii="Times New Roman" w:hAnsi="Times New Roman"/>
        </w:rPr>
        <w:t>zionale</w:t>
      </w:r>
      <w:r w:rsidR="009D74E6" w:rsidRPr="00725496">
        <w:rPr>
          <w:rFonts w:ascii="Times New Roman" w:hAnsi="Times New Roman"/>
        </w:rPr>
        <w:t xml:space="preserve"> </w:t>
      </w:r>
      <w:r w:rsidR="00AE029D" w:rsidRPr="00725496">
        <w:rPr>
          <w:rFonts w:ascii="Times New Roman" w:hAnsi="Times New Roman"/>
        </w:rPr>
        <w:t>di leggi regionali che prevedevano meccanismi di silenzio assenso in materia ambientale (è il caso dello stoccaggio provvisorio di rifiuti tossici</w:t>
      </w:r>
      <w:r w:rsidR="00846805" w:rsidRPr="00725496">
        <w:rPr>
          <w:rStyle w:val="Rimandonotaapidipagina"/>
          <w:rFonts w:ascii="Times New Roman" w:hAnsi="Times New Roman"/>
        </w:rPr>
        <w:footnoteReference w:id="7"/>
      </w:r>
      <w:r w:rsidR="00AE029D" w:rsidRPr="00725496">
        <w:rPr>
          <w:rFonts w:ascii="Times New Roman" w:hAnsi="Times New Roman"/>
        </w:rPr>
        <w:t xml:space="preserve"> o dell’autorizzazione provvisoria allo scarico</w:t>
      </w:r>
      <w:r w:rsidR="003C52BB" w:rsidRPr="00725496">
        <w:rPr>
          <w:rStyle w:val="Rimandonotaapidipagina"/>
          <w:rFonts w:ascii="Times New Roman" w:hAnsi="Times New Roman"/>
        </w:rPr>
        <w:footnoteReference w:id="8"/>
      </w:r>
      <w:r w:rsidR="00AE029D" w:rsidRPr="00725496">
        <w:rPr>
          <w:rFonts w:ascii="Times New Roman" w:hAnsi="Times New Roman"/>
        </w:rPr>
        <w:t>)</w:t>
      </w:r>
      <w:r w:rsidR="009D74E6" w:rsidRPr="00725496">
        <w:rPr>
          <w:rFonts w:ascii="Times New Roman" w:hAnsi="Times New Roman"/>
        </w:rPr>
        <w:t xml:space="preserve">, affermandone </w:t>
      </w:r>
      <w:r w:rsidR="009D74E6" w:rsidRPr="00725496">
        <w:rPr>
          <w:rFonts w:ascii="Times New Roman" w:hAnsi="Times New Roman"/>
        </w:rPr>
        <w:lastRenderedPageBreak/>
        <w:t>l’incompatibilità con la Costituzione in riferimento al profilo della</w:t>
      </w:r>
      <w:r w:rsidR="00522668" w:rsidRPr="00725496">
        <w:rPr>
          <w:rFonts w:ascii="Times New Roman" w:hAnsi="Times New Roman"/>
        </w:rPr>
        <w:t xml:space="preserve"> violazione del riparto di competenze legislative e del livello di tutela garantito dalla legge statale</w:t>
      </w:r>
      <w:r w:rsidR="00C74ACB" w:rsidRPr="00725496">
        <w:rPr>
          <w:rStyle w:val="Rimandonotaapidipagina"/>
          <w:rFonts w:ascii="Times New Roman" w:hAnsi="Times New Roman"/>
        </w:rPr>
        <w:footnoteReference w:id="9"/>
      </w:r>
      <w:r w:rsidR="00522668" w:rsidRPr="00725496">
        <w:rPr>
          <w:rFonts w:ascii="Times New Roman" w:hAnsi="Times New Roman"/>
        </w:rPr>
        <w:t>.</w:t>
      </w:r>
      <w:r w:rsidR="005541F7" w:rsidRPr="00725496">
        <w:rPr>
          <w:rFonts w:ascii="Times New Roman" w:hAnsi="Times New Roman"/>
        </w:rPr>
        <w:t xml:space="preserve"> Per</w:t>
      </w:r>
      <w:r w:rsidR="00DE4617" w:rsidRPr="00725496">
        <w:rPr>
          <w:rFonts w:ascii="Times New Roman" w:hAnsi="Times New Roman"/>
        </w:rPr>
        <w:t xml:space="preserve"> </w:t>
      </w:r>
      <w:r w:rsidR="009D74E6" w:rsidRPr="00725496">
        <w:rPr>
          <w:rFonts w:ascii="Times New Roman" w:hAnsi="Times New Roman"/>
        </w:rPr>
        <w:t>di</w:t>
      </w:r>
      <w:r w:rsidR="00DE4617" w:rsidRPr="00725496">
        <w:rPr>
          <w:rFonts w:ascii="Times New Roman" w:hAnsi="Times New Roman"/>
        </w:rPr>
        <w:t xml:space="preserve"> </w:t>
      </w:r>
      <w:r w:rsidR="009D74E6" w:rsidRPr="00725496">
        <w:rPr>
          <w:rFonts w:ascii="Times New Roman" w:hAnsi="Times New Roman"/>
        </w:rPr>
        <w:t>più</w:t>
      </w:r>
      <w:r w:rsidR="005541F7" w:rsidRPr="00725496">
        <w:rPr>
          <w:rFonts w:ascii="Times New Roman" w:hAnsi="Times New Roman"/>
        </w:rPr>
        <w:t xml:space="preserve"> in altre occasioni </w:t>
      </w:r>
      <w:r w:rsidR="00DE4617" w:rsidRPr="00725496">
        <w:rPr>
          <w:rFonts w:ascii="Times New Roman" w:hAnsi="Times New Roman"/>
        </w:rPr>
        <w:t xml:space="preserve">la Corte </w:t>
      </w:r>
      <w:r w:rsidR="005541F7" w:rsidRPr="00725496">
        <w:rPr>
          <w:rFonts w:ascii="Times New Roman" w:hAnsi="Times New Roman"/>
        </w:rPr>
        <w:t xml:space="preserve">ha affermato la compatibilità con il quadro costituzionale di disposizioni </w:t>
      </w:r>
      <w:r w:rsidR="009D74E6" w:rsidRPr="00725496">
        <w:rPr>
          <w:rFonts w:ascii="Times New Roman" w:hAnsi="Times New Roman"/>
        </w:rPr>
        <w:t xml:space="preserve">statali </w:t>
      </w:r>
      <w:r w:rsidR="005541F7" w:rsidRPr="00725496">
        <w:rPr>
          <w:rFonts w:ascii="Times New Roman" w:hAnsi="Times New Roman"/>
        </w:rPr>
        <w:t>che prevedono l’autorizzazione tacita in ambiti incidenti sugli interessi sensibil</w:t>
      </w:r>
      <w:r w:rsidR="009D74E6" w:rsidRPr="00725496">
        <w:rPr>
          <w:rFonts w:ascii="Times New Roman" w:hAnsi="Times New Roman"/>
        </w:rPr>
        <w:t>i</w:t>
      </w:r>
      <w:r w:rsidR="005541F7" w:rsidRPr="00725496">
        <w:rPr>
          <w:rFonts w:ascii="Times New Roman" w:hAnsi="Times New Roman"/>
        </w:rPr>
        <w:t xml:space="preserve"> (come l’installazione di infrastrutture per impianti ra</w:t>
      </w:r>
      <w:r w:rsidR="009D74E6" w:rsidRPr="00725496">
        <w:rPr>
          <w:rFonts w:ascii="Times New Roman" w:hAnsi="Times New Roman"/>
        </w:rPr>
        <w:t>d</w:t>
      </w:r>
      <w:r w:rsidR="005541F7" w:rsidRPr="00725496">
        <w:rPr>
          <w:rFonts w:ascii="Times New Roman" w:hAnsi="Times New Roman"/>
        </w:rPr>
        <w:t>ioelettrici</w:t>
      </w:r>
      <w:r w:rsidR="005541F7" w:rsidRPr="00725496">
        <w:rPr>
          <w:rStyle w:val="Rimandonotaapidipagina"/>
          <w:rFonts w:ascii="Times New Roman" w:hAnsi="Times New Roman"/>
        </w:rPr>
        <w:footnoteReference w:id="10"/>
      </w:r>
      <w:r w:rsidR="005541F7" w:rsidRPr="00725496">
        <w:rPr>
          <w:rFonts w:ascii="Times New Roman" w:hAnsi="Times New Roman"/>
        </w:rPr>
        <w:t>).</w:t>
      </w:r>
    </w:p>
    <w:p w14:paraId="21FE232E" w14:textId="08F0EAEB" w:rsidR="003E24CE" w:rsidRPr="00725496" w:rsidRDefault="003E24CE" w:rsidP="00725496">
      <w:pPr>
        <w:widowControl w:val="0"/>
        <w:autoSpaceDE w:val="0"/>
        <w:autoSpaceDN w:val="0"/>
        <w:adjustRightInd w:val="0"/>
        <w:spacing w:line="276" w:lineRule="auto"/>
        <w:ind w:firstLine="720"/>
        <w:jc w:val="both"/>
        <w:rPr>
          <w:rFonts w:ascii="Times New Roman" w:hAnsi="Times New Roman"/>
        </w:rPr>
      </w:pPr>
      <w:r w:rsidRPr="00725496">
        <w:rPr>
          <w:rFonts w:ascii="Times New Roman" w:hAnsi="Times New Roman"/>
        </w:rPr>
        <w:t xml:space="preserve">Parimenti le pronunce della Corte di Giustizia, comunque tutte precedenti alla </w:t>
      </w:r>
      <w:r w:rsidR="002946A4" w:rsidRPr="00725496">
        <w:rPr>
          <w:rFonts w:ascii="Times New Roman" w:hAnsi="Times New Roman"/>
        </w:rPr>
        <w:t xml:space="preserve">direttiva </w:t>
      </w:r>
      <w:r w:rsidR="009D74E6" w:rsidRPr="00725496">
        <w:rPr>
          <w:rFonts w:ascii="Times New Roman" w:hAnsi="Times New Roman"/>
        </w:rPr>
        <w:t>2006/</w:t>
      </w:r>
      <w:r w:rsidR="00476BED" w:rsidRPr="00725496">
        <w:rPr>
          <w:rFonts w:ascii="Times New Roman" w:hAnsi="Times New Roman"/>
        </w:rPr>
        <w:t>123/CE</w:t>
      </w:r>
      <w:r w:rsidR="00DE4617" w:rsidRPr="00725496">
        <w:rPr>
          <w:rFonts w:ascii="Times New Roman" w:hAnsi="Times New Roman"/>
        </w:rPr>
        <w:t>,</w:t>
      </w:r>
      <w:r w:rsidR="002946A4" w:rsidRPr="00725496">
        <w:rPr>
          <w:rFonts w:ascii="Times New Roman" w:hAnsi="Times New Roman"/>
        </w:rPr>
        <w:t xml:space="preserve"> che</w:t>
      </w:r>
      <w:r w:rsidR="00DE4617" w:rsidRPr="00725496">
        <w:rPr>
          <w:rFonts w:ascii="Times New Roman" w:hAnsi="Times New Roman"/>
        </w:rPr>
        <w:t>, come noto,</w:t>
      </w:r>
      <w:r w:rsidR="002946A4" w:rsidRPr="00725496">
        <w:rPr>
          <w:rFonts w:ascii="Times New Roman" w:hAnsi="Times New Roman"/>
        </w:rPr>
        <w:t xml:space="preserve"> ha previsto il silenzio assenso quale forma </w:t>
      </w:r>
      <w:r w:rsidR="00476BED" w:rsidRPr="00725496">
        <w:rPr>
          <w:rFonts w:ascii="Times New Roman" w:hAnsi="Times New Roman"/>
        </w:rPr>
        <w:t>ordinaria per le autorizzazioni alla prestazione di servizi</w:t>
      </w:r>
      <w:r w:rsidR="002946A4" w:rsidRPr="00725496">
        <w:rPr>
          <w:rFonts w:ascii="Times New Roman" w:hAnsi="Times New Roman"/>
        </w:rPr>
        <w:t xml:space="preserve"> </w:t>
      </w:r>
      <w:r w:rsidR="009226C4" w:rsidRPr="00725496">
        <w:rPr>
          <w:rFonts w:ascii="Times New Roman" w:hAnsi="Times New Roman"/>
        </w:rPr>
        <w:t>(senza l</w:t>
      </w:r>
      <w:r w:rsidR="00476BED" w:rsidRPr="00725496">
        <w:rPr>
          <w:rFonts w:ascii="Times New Roman" w:hAnsi="Times New Roman"/>
        </w:rPr>
        <w:t>a parallela previsione di una generale eccezione ambientale</w:t>
      </w:r>
      <w:r w:rsidR="00BF5D42" w:rsidRPr="00725496">
        <w:rPr>
          <w:rStyle w:val="Rimandonotaapidipagina"/>
          <w:rFonts w:ascii="Times New Roman" w:hAnsi="Times New Roman"/>
        </w:rPr>
        <w:footnoteReference w:id="11"/>
      </w:r>
      <w:r w:rsidR="00476BED" w:rsidRPr="00725496">
        <w:rPr>
          <w:rFonts w:ascii="Times New Roman" w:hAnsi="Times New Roman"/>
        </w:rPr>
        <w:t>), censurano gli ordinamenti degli Stati membri per violazione di specifici regimi autorizzatori previsti dalle direttive (80/68 sulla protezione delle acque dall’inquinamento</w:t>
      </w:r>
      <w:r w:rsidR="00476BED" w:rsidRPr="00725496">
        <w:rPr>
          <w:rStyle w:val="Rimandonotaapidipagina"/>
          <w:rFonts w:ascii="Times New Roman" w:hAnsi="Times New Roman"/>
        </w:rPr>
        <w:footnoteReference w:id="12"/>
      </w:r>
      <w:r w:rsidR="00476BED" w:rsidRPr="00725496">
        <w:rPr>
          <w:rFonts w:ascii="Times New Roman" w:hAnsi="Times New Roman"/>
        </w:rPr>
        <w:t>; 75/442, 76/464, 80/68, 84/360 e 85/337 che impongono autorizzazioni e valutazioni previe sull’impatto ambientale</w:t>
      </w:r>
      <w:r w:rsidR="00476BED" w:rsidRPr="00725496">
        <w:rPr>
          <w:rStyle w:val="Rimandonotaapidipagina"/>
          <w:rFonts w:ascii="Times New Roman" w:hAnsi="Times New Roman"/>
        </w:rPr>
        <w:footnoteReference w:id="13"/>
      </w:r>
      <w:r w:rsidR="00476BED" w:rsidRPr="00725496">
        <w:rPr>
          <w:rFonts w:ascii="Times New Roman" w:hAnsi="Times New Roman"/>
        </w:rPr>
        <w:t>).</w:t>
      </w:r>
      <w:r w:rsidR="00D52ACF" w:rsidRPr="00725496">
        <w:rPr>
          <w:rFonts w:ascii="Times New Roman" w:hAnsi="Times New Roman"/>
        </w:rPr>
        <w:t xml:space="preserve"> Anche la sentenza</w:t>
      </w:r>
      <w:r w:rsidR="009D74E6" w:rsidRPr="00725496">
        <w:rPr>
          <w:rFonts w:ascii="Times New Roman" w:hAnsi="Times New Roman"/>
        </w:rPr>
        <w:t xml:space="preserve"> in C-87/02 </w:t>
      </w:r>
      <w:r w:rsidR="00D52ACF" w:rsidRPr="00725496">
        <w:rPr>
          <w:rFonts w:ascii="Times New Roman" w:hAnsi="Times New Roman"/>
        </w:rPr>
        <w:t xml:space="preserve">del 2004, unica </w:t>
      </w:r>
      <w:r w:rsidR="009D74E6" w:rsidRPr="00725496">
        <w:rPr>
          <w:rFonts w:ascii="Times New Roman" w:hAnsi="Times New Roman"/>
        </w:rPr>
        <w:t xml:space="preserve">riferita a </w:t>
      </w:r>
      <w:r w:rsidR="00D52ACF" w:rsidRPr="00725496">
        <w:rPr>
          <w:rFonts w:ascii="Times New Roman" w:hAnsi="Times New Roman"/>
        </w:rPr>
        <w:t xml:space="preserve">un silenzio assenso procedimentale, </w:t>
      </w:r>
      <w:r w:rsidR="00D52ACF" w:rsidRPr="00725496">
        <w:rPr>
          <w:rFonts w:ascii="Times New Roman" w:hAnsi="Times New Roman"/>
        </w:rPr>
        <w:lastRenderedPageBreak/>
        <w:t>afferma semplicemente che la decisione con cui l’</w:t>
      </w:r>
      <w:r w:rsidR="0054433B" w:rsidRPr="00725496">
        <w:rPr>
          <w:rFonts w:ascii="Times New Roman" w:hAnsi="Times New Roman"/>
        </w:rPr>
        <w:t>Amministrazione</w:t>
      </w:r>
      <w:r w:rsidR="00D52ACF" w:rsidRPr="00725496">
        <w:rPr>
          <w:rFonts w:ascii="Times New Roman" w:hAnsi="Times New Roman"/>
        </w:rPr>
        <w:t xml:space="preserve"> competente </w:t>
      </w:r>
      <w:r w:rsidR="0033428B" w:rsidRPr="00725496">
        <w:rPr>
          <w:rFonts w:ascii="Times New Roman" w:hAnsi="Times New Roman"/>
        </w:rPr>
        <w:t>stabilisce</w:t>
      </w:r>
      <w:r w:rsidR="00D52ACF" w:rsidRPr="00725496">
        <w:rPr>
          <w:rFonts w:ascii="Times New Roman" w:hAnsi="Times New Roman"/>
        </w:rPr>
        <w:t xml:space="preserve"> di non sottoporre un progetto a VIA deve contenere tutti gli elementi che consentono di controllare che sia fondata su una previa verifica, adeguata e rispettosa dei criteri imposti dalla direttiva</w:t>
      </w:r>
      <w:r w:rsidR="00D52ACF" w:rsidRPr="00725496">
        <w:rPr>
          <w:rStyle w:val="Rimandonotaapidipagina"/>
          <w:rFonts w:ascii="Times New Roman" w:hAnsi="Times New Roman"/>
        </w:rPr>
        <w:footnoteReference w:id="14"/>
      </w:r>
      <w:r w:rsidR="00D52ACF" w:rsidRPr="00725496">
        <w:rPr>
          <w:rFonts w:ascii="Times New Roman" w:hAnsi="Times New Roman"/>
        </w:rPr>
        <w:t>.</w:t>
      </w:r>
    </w:p>
    <w:p w14:paraId="2D986C8F" w14:textId="29DD7B74" w:rsidR="0054433B" w:rsidRPr="00725496" w:rsidRDefault="0054433B" w:rsidP="00725496">
      <w:pPr>
        <w:widowControl w:val="0"/>
        <w:autoSpaceDE w:val="0"/>
        <w:autoSpaceDN w:val="0"/>
        <w:adjustRightInd w:val="0"/>
        <w:spacing w:line="276" w:lineRule="auto"/>
        <w:ind w:firstLine="720"/>
        <w:jc w:val="both"/>
        <w:rPr>
          <w:rFonts w:ascii="Times New Roman" w:eastAsia="Times New Roman" w:hAnsi="Times New Roman"/>
          <w:bCs/>
          <w:lang w:eastAsia="it-IT"/>
        </w:rPr>
      </w:pPr>
      <w:r w:rsidRPr="00725496">
        <w:rPr>
          <w:rFonts w:ascii="Times New Roman" w:hAnsi="Times New Roman"/>
        </w:rPr>
        <w:t>Del resto non riconoscere che</w:t>
      </w:r>
      <w:r w:rsidR="009D74E6" w:rsidRPr="00725496">
        <w:rPr>
          <w:rFonts w:ascii="Times New Roman" w:hAnsi="Times New Roman"/>
        </w:rPr>
        <w:t xml:space="preserve">, piaccia o </w:t>
      </w:r>
      <w:r w:rsidR="00B80445" w:rsidRPr="00725496">
        <w:rPr>
          <w:rFonts w:ascii="Times New Roman" w:hAnsi="Times New Roman"/>
        </w:rPr>
        <w:t>meno</w:t>
      </w:r>
      <w:r w:rsidR="009D74E6" w:rsidRPr="00725496">
        <w:rPr>
          <w:rFonts w:ascii="Times New Roman" w:hAnsi="Times New Roman"/>
        </w:rPr>
        <w:t>,</w:t>
      </w:r>
      <w:r w:rsidRPr="00725496">
        <w:rPr>
          <w:rFonts w:ascii="Times New Roman" w:hAnsi="Times New Roman"/>
        </w:rPr>
        <w:t xml:space="preserve"> gli interessi sensibili stanno progressivamente perdendo la specialità </w:t>
      </w:r>
      <w:r w:rsidR="009D74E6" w:rsidRPr="00725496">
        <w:rPr>
          <w:rFonts w:ascii="Times New Roman" w:hAnsi="Times New Roman"/>
        </w:rPr>
        <w:t xml:space="preserve">loro </w:t>
      </w:r>
      <w:r w:rsidRPr="00725496">
        <w:rPr>
          <w:rFonts w:ascii="Times New Roman" w:hAnsi="Times New Roman"/>
        </w:rPr>
        <w:t>riconosciuta nell’originario impianto della l. n. 241/1990</w:t>
      </w:r>
      <w:r w:rsidR="005A166F" w:rsidRPr="00725496">
        <w:rPr>
          <w:rFonts w:ascii="Times New Roman" w:hAnsi="Times New Roman"/>
        </w:rPr>
        <w:t>,</w:t>
      </w:r>
      <w:r w:rsidRPr="00725496">
        <w:rPr>
          <w:rFonts w:ascii="Times New Roman" w:hAnsi="Times New Roman"/>
        </w:rPr>
        <w:t xml:space="preserve"> vorrebbe dire sottrarsi ad un dato di fatto</w:t>
      </w:r>
      <w:r w:rsidR="005D4431">
        <w:rPr>
          <w:rStyle w:val="Rimandonotaapidipagina"/>
          <w:rFonts w:ascii="Times New Roman" w:hAnsi="Times New Roman"/>
        </w:rPr>
        <w:footnoteReference w:id="15"/>
      </w:r>
      <w:r w:rsidRPr="00725496">
        <w:rPr>
          <w:rFonts w:ascii="Times New Roman" w:hAnsi="Times New Roman"/>
        </w:rPr>
        <w:t xml:space="preserve"> (si pensi all’</w:t>
      </w:r>
      <w:r w:rsidR="00BF7B6B" w:rsidRPr="00725496">
        <w:rPr>
          <w:rFonts w:ascii="Times New Roman" w:eastAsia="Times New Roman" w:hAnsi="Times New Roman"/>
          <w:bCs/>
          <w:lang w:eastAsia="it-IT"/>
        </w:rPr>
        <w:t>art. 14-</w:t>
      </w:r>
      <w:r w:rsidR="00BF7B6B" w:rsidRPr="00725496">
        <w:rPr>
          <w:rFonts w:ascii="Times New Roman" w:eastAsia="Times New Roman" w:hAnsi="Times New Roman"/>
          <w:bCs/>
          <w:i/>
          <w:lang w:eastAsia="it-IT"/>
        </w:rPr>
        <w:t>ter</w:t>
      </w:r>
      <w:r w:rsidR="00BF7B6B" w:rsidRPr="00725496">
        <w:rPr>
          <w:rFonts w:ascii="Times New Roman" w:eastAsia="Times New Roman" w:hAnsi="Times New Roman"/>
          <w:bCs/>
          <w:lang w:eastAsia="it-IT"/>
        </w:rPr>
        <w:t>, co. 7,</w:t>
      </w:r>
      <w:r w:rsidR="00BF7B6B" w:rsidRPr="00725496">
        <w:rPr>
          <w:rFonts w:ascii="Times New Roman" w:hAnsi="Times New Roman"/>
        </w:rPr>
        <w:t xml:space="preserve"> l. n. 241, come modificato nel 2010, secondo cui </w:t>
      </w:r>
      <w:r w:rsidR="00BF7B6B" w:rsidRPr="00725496">
        <w:rPr>
          <w:rFonts w:ascii="Times New Roman" w:eastAsia="Times New Roman" w:hAnsi="Times New Roman"/>
          <w:bCs/>
          <w:lang w:eastAsia="it-IT"/>
        </w:rPr>
        <w:t>le amministrazioni preposte alla tutela paesaggistico-territoriale e alla tutela ambientale e della pubblica incolumità</w:t>
      </w:r>
      <w:r w:rsidR="00BF7B6B" w:rsidRPr="00725496">
        <w:rPr>
          <w:rStyle w:val="Rimandonotaapidipagina"/>
          <w:rFonts w:ascii="Times New Roman" w:eastAsia="Times New Roman" w:hAnsi="Times New Roman"/>
          <w:bCs/>
          <w:lang w:eastAsia="it-IT"/>
        </w:rPr>
        <w:footnoteReference w:id="16"/>
      </w:r>
      <w:r w:rsidR="00BF7B6B" w:rsidRPr="00725496">
        <w:rPr>
          <w:rFonts w:ascii="Times New Roman" w:eastAsia="Times New Roman" w:hAnsi="Times New Roman"/>
          <w:bCs/>
          <w:lang w:eastAsia="it-IT"/>
        </w:rPr>
        <w:t xml:space="preserve"> sono espressamente incluse tra quelle il cui assenso si ritiene acquisito qualora non venga espressa definitivamente in seno alla conferenza di servizi la volontà dell’amministrazione rappresentata </w:t>
      </w:r>
      <w:r w:rsidR="00CE7185" w:rsidRPr="00725496">
        <w:rPr>
          <w:rFonts w:ascii="Times New Roman" w:eastAsia="Times New Roman" w:hAnsi="Times New Roman"/>
          <w:bCs/>
          <w:lang w:eastAsia="it-IT"/>
        </w:rPr>
        <w:t>nonché</w:t>
      </w:r>
      <w:r w:rsidR="00BF7B6B" w:rsidRPr="00725496">
        <w:rPr>
          <w:rFonts w:ascii="Times New Roman" w:eastAsia="Times New Roman" w:hAnsi="Times New Roman"/>
          <w:bCs/>
          <w:lang w:eastAsia="it-IT"/>
        </w:rPr>
        <w:t xml:space="preserve"> </w:t>
      </w:r>
      <w:r w:rsidR="00C146D6" w:rsidRPr="00725496">
        <w:rPr>
          <w:rFonts w:ascii="Times New Roman" w:eastAsia="Times New Roman" w:hAnsi="Times New Roman"/>
          <w:bCs/>
          <w:lang w:eastAsia="it-IT"/>
        </w:rPr>
        <w:t xml:space="preserve">ai principi e criteri direttivi enunciati dalla </w:t>
      </w:r>
      <w:r w:rsidR="00C146D6" w:rsidRPr="00725496">
        <w:rPr>
          <w:rFonts w:ascii="Times New Roman" w:hAnsi="Times New Roman"/>
        </w:rPr>
        <w:t xml:space="preserve">l. </w:t>
      </w:r>
      <w:r w:rsidR="0093699F">
        <w:rPr>
          <w:rFonts w:ascii="Times New Roman" w:hAnsi="Times New Roman"/>
        </w:rPr>
        <w:t>Madia</w:t>
      </w:r>
      <w:r w:rsidR="00C146D6" w:rsidRPr="00725496">
        <w:rPr>
          <w:rFonts w:ascii="Times New Roman" w:hAnsi="Times New Roman"/>
        </w:rPr>
        <w:t xml:space="preserve"> </w:t>
      </w:r>
      <w:r w:rsidR="00BF7B6B" w:rsidRPr="00725496">
        <w:rPr>
          <w:rFonts w:ascii="Times New Roman" w:eastAsia="Times New Roman" w:hAnsi="Times New Roman"/>
          <w:bCs/>
          <w:lang w:eastAsia="it-IT"/>
        </w:rPr>
        <w:t>in materia di conferenza</w:t>
      </w:r>
      <w:r w:rsidR="0093699F">
        <w:rPr>
          <w:rStyle w:val="Rimandonotaapidipagina"/>
          <w:rFonts w:ascii="Times New Roman" w:eastAsia="Times New Roman" w:hAnsi="Times New Roman"/>
          <w:bCs/>
          <w:lang w:eastAsia="it-IT"/>
        </w:rPr>
        <w:footnoteReference w:id="17"/>
      </w:r>
      <w:r w:rsidR="0093699F">
        <w:rPr>
          <w:rFonts w:ascii="Times New Roman" w:eastAsia="Times New Roman" w:hAnsi="Times New Roman"/>
          <w:bCs/>
          <w:lang w:eastAsia="it-IT"/>
        </w:rPr>
        <w:t xml:space="preserve"> come recepiti nello schema di decreto delegato</w:t>
      </w:r>
      <w:r w:rsidR="00223171">
        <w:rPr>
          <w:rStyle w:val="Rimandonotaapidipagina"/>
          <w:rFonts w:ascii="Times New Roman" w:eastAsia="Times New Roman" w:hAnsi="Times New Roman"/>
          <w:bCs/>
          <w:lang w:eastAsia="it-IT"/>
        </w:rPr>
        <w:footnoteReference w:id="18"/>
      </w:r>
      <w:r w:rsidR="00BF7B6B" w:rsidRPr="00725496">
        <w:rPr>
          <w:rFonts w:ascii="Times New Roman" w:eastAsia="Times New Roman" w:hAnsi="Times New Roman"/>
          <w:bCs/>
          <w:lang w:eastAsia="it-IT"/>
        </w:rPr>
        <w:t xml:space="preserve">). </w:t>
      </w:r>
    </w:p>
    <w:p w14:paraId="4B89836A" w14:textId="0509C855" w:rsidR="00B95B89" w:rsidRPr="00725496" w:rsidRDefault="00555684" w:rsidP="00725496">
      <w:pPr>
        <w:widowControl w:val="0"/>
        <w:autoSpaceDE w:val="0"/>
        <w:autoSpaceDN w:val="0"/>
        <w:adjustRightInd w:val="0"/>
        <w:spacing w:line="276" w:lineRule="auto"/>
        <w:ind w:firstLine="720"/>
        <w:jc w:val="both"/>
        <w:rPr>
          <w:rFonts w:ascii="Times New Roman" w:eastAsia="Times New Roman" w:hAnsi="Times New Roman"/>
          <w:bCs/>
          <w:lang w:eastAsia="it-IT"/>
        </w:rPr>
      </w:pPr>
      <w:r w:rsidRPr="00725496">
        <w:rPr>
          <w:rFonts w:ascii="Times New Roman" w:eastAsia="Times New Roman" w:hAnsi="Times New Roman"/>
          <w:bCs/>
          <w:lang w:eastAsia="it-IT"/>
        </w:rPr>
        <w:t>L</w:t>
      </w:r>
      <w:r w:rsidR="00F66E1F" w:rsidRPr="00725496">
        <w:rPr>
          <w:rFonts w:ascii="Times New Roman" w:eastAsia="Times New Roman" w:hAnsi="Times New Roman"/>
          <w:bCs/>
          <w:lang w:eastAsia="it-IT"/>
        </w:rPr>
        <w:t>’analisi dell</w:t>
      </w:r>
      <w:r w:rsidRPr="00725496">
        <w:rPr>
          <w:rFonts w:ascii="Times New Roman" w:eastAsia="Times New Roman" w:hAnsi="Times New Roman"/>
          <w:bCs/>
          <w:lang w:eastAsia="it-IT"/>
        </w:rPr>
        <w:t xml:space="preserve">a seconda argomentazione richiede una doverosa premessa. </w:t>
      </w:r>
    </w:p>
    <w:p w14:paraId="75834EB3" w14:textId="5A7BCEA2" w:rsidR="00B95B89" w:rsidRPr="00725496" w:rsidRDefault="00555684" w:rsidP="00725496">
      <w:pPr>
        <w:shd w:val="clear" w:color="auto" w:fill="FFFFFF"/>
        <w:spacing w:line="276" w:lineRule="auto"/>
        <w:ind w:firstLine="720"/>
        <w:jc w:val="both"/>
      </w:pPr>
      <w:r w:rsidRPr="00725496">
        <w:rPr>
          <w:rFonts w:eastAsia="Times New Roman"/>
        </w:rPr>
        <w:t>L’art. 17-</w:t>
      </w:r>
      <w:r w:rsidRPr="00725496">
        <w:rPr>
          <w:rFonts w:eastAsia="Times New Roman"/>
          <w:i/>
        </w:rPr>
        <w:t>bis</w:t>
      </w:r>
      <w:r w:rsidR="00B95B89" w:rsidRPr="00725496">
        <w:rPr>
          <w:rFonts w:eastAsia="Times New Roman"/>
        </w:rPr>
        <w:t xml:space="preserve"> inserisce un’ipotesi di silenzio significativo tra pp.AA. </w:t>
      </w:r>
      <w:r w:rsidR="003509A0" w:rsidRPr="00725496">
        <w:rPr>
          <w:rFonts w:ascii="Times New Roman" w:eastAsia="Times New Roman" w:hAnsi="Times New Roman"/>
          <w:bCs/>
          <w:lang w:eastAsia="it-IT"/>
        </w:rPr>
        <w:t>di</w:t>
      </w:r>
      <w:r w:rsidR="00B95B89" w:rsidRPr="00725496">
        <w:rPr>
          <w:rFonts w:ascii="Times New Roman" w:eastAsia="Times New Roman" w:hAnsi="Times New Roman"/>
          <w:bCs/>
          <w:lang w:eastAsia="it-IT"/>
        </w:rPr>
        <w:t xml:space="preserve"> natura procedimentale, </w:t>
      </w:r>
      <w:r w:rsidR="003509A0" w:rsidRPr="00725496">
        <w:rPr>
          <w:rFonts w:ascii="Times New Roman" w:eastAsia="Times New Roman" w:hAnsi="Times New Roman"/>
          <w:bCs/>
          <w:lang w:eastAsia="it-IT"/>
        </w:rPr>
        <w:t>distingue</w:t>
      </w:r>
      <w:r w:rsidR="009D74E6" w:rsidRPr="00725496">
        <w:rPr>
          <w:rFonts w:ascii="Times New Roman" w:eastAsia="Times New Roman" w:hAnsi="Times New Roman"/>
          <w:bCs/>
          <w:lang w:eastAsia="it-IT"/>
        </w:rPr>
        <w:t>ndosi perciò</w:t>
      </w:r>
      <w:r w:rsidR="003509A0" w:rsidRPr="00725496">
        <w:rPr>
          <w:rFonts w:ascii="Times New Roman" w:eastAsia="Times New Roman" w:hAnsi="Times New Roman"/>
          <w:bCs/>
          <w:lang w:eastAsia="it-IT"/>
        </w:rPr>
        <w:t xml:space="preserve"> dal</w:t>
      </w:r>
      <w:r w:rsidR="00B95B89" w:rsidRPr="00725496">
        <w:rPr>
          <w:rFonts w:ascii="Times New Roman" w:eastAsia="Times New Roman" w:hAnsi="Times New Roman"/>
          <w:bCs/>
          <w:lang w:eastAsia="it-IT"/>
        </w:rPr>
        <w:t xml:space="preserve"> silenzio dell’amministrazione nei procedimenti ad istanza di parte (</w:t>
      </w:r>
      <w:r w:rsidR="0008572C" w:rsidRPr="00725496">
        <w:rPr>
          <w:rFonts w:ascii="Times New Roman" w:eastAsia="Times New Roman" w:hAnsi="Times New Roman"/>
          <w:bCs/>
          <w:lang w:eastAsia="it-IT"/>
        </w:rPr>
        <w:t xml:space="preserve">c.d. </w:t>
      </w:r>
      <w:r w:rsidR="00B95B89" w:rsidRPr="00725496">
        <w:rPr>
          <w:rFonts w:ascii="Times New Roman" w:eastAsia="Times New Roman" w:hAnsi="Times New Roman"/>
          <w:bCs/>
          <w:lang w:eastAsia="it-IT"/>
        </w:rPr>
        <w:t>silenzio “provvedimentale”)</w:t>
      </w:r>
      <w:r w:rsidR="003509A0" w:rsidRPr="00725496">
        <w:rPr>
          <w:rFonts w:ascii="Times New Roman" w:eastAsia="Times New Roman" w:hAnsi="Times New Roman"/>
          <w:bCs/>
          <w:lang w:eastAsia="it-IT"/>
        </w:rPr>
        <w:t>, che</w:t>
      </w:r>
      <w:r w:rsidR="00B95B89" w:rsidRPr="00725496">
        <w:rPr>
          <w:rFonts w:ascii="Times New Roman" w:eastAsia="Times New Roman" w:hAnsi="Times New Roman"/>
          <w:bCs/>
          <w:lang w:eastAsia="it-IT"/>
        </w:rPr>
        <w:t xml:space="preserve"> continua ad essere regolato dall’art. 20 della medesima l. n. 241</w:t>
      </w:r>
      <w:r w:rsidR="001359FB" w:rsidRPr="00725496">
        <w:rPr>
          <w:rFonts w:ascii="Times New Roman" w:eastAsia="Times New Roman" w:hAnsi="Times New Roman"/>
          <w:bCs/>
          <w:lang w:eastAsia="it-IT"/>
        </w:rPr>
        <w:t>,</w:t>
      </w:r>
      <w:r w:rsidR="00B95B89" w:rsidRPr="00725496">
        <w:rPr>
          <w:rFonts w:ascii="Times New Roman" w:eastAsia="Times New Roman" w:hAnsi="Times New Roman"/>
          <w:bCs/>
          <w:lang w:eastAsia="it-IT"/>
        </w:rPr>
        <w:t xml:space="preserve"> con le relative peculiarità (tra </w:t>
      </w:r>
      <w:r w:rsidR="00253122" w:rsidRPr="00725496">
        <w:rPr>
          <w:rFonts w:ascii="Times New Roman" w:eastAsia="Times New Roman" w:hAnsi="Times New Roman"/>
          <w:bCs/>
          <w:lang w:eastAsia="it-IT"/>
        </w:rPr>
        <w:t xml:space="preserve">cui </w:t>
      </w:r>
      <w:r w:rsidR="00B82A6A" w:rsidRPr="00725496">
        <w:rPr>
          <w:rFonts w:ascii="Times New Roman" w:eastAsia="Times New Roman" w:hAnsi="Times New Roman"/>
          <w:bCs/>
          <w:lang w:eastAsia="it-IT"/>
        </w:rPr>
        <w:t>l’esclusione</w:t>
      </w:r>
      <w:r w:rsidR="00B95B89" w:rsidRPr="00725496">
        <w:rPr>
          <w:rFonts w:ascii="Times New Roman" w:eastAsia="Times New Roman" w:hAnsi="Times New Roman"/>
          <w:bCs/>
          <w:lang w:eastAsia="it-IT"/>
        </w:rPr>
        <w:t xml:space="preserve"> </w:t>
      </w:r>
      <w:r w:rsidR="00B82A6A" w:rsidRPr="00725496">
        <w:rPr>
          <w:rFonts w:ascii="Times New Roman" w:eastAsia="Times New Roman" w:hAnsi="Times New Roman"/>
          <w:bCs/>
          <w:lang w:eastAsia="it-IT"/>
        </w:rPr>
        <w:t>degli atti riguardanti gli interessi “sensibili” dalla generalizzata operatività</w:t>
      </w:r>
      <w:r w:rsidR="00B95B89" w:rsidRPr="00725496">
        <w:rPr>
          <w:rFonts w:ascii="Times New Roman" w:eastAsia="Times New Roman" w:hAnsi="Times New Roman"/>
          <w:bCs/>
          <w:lang w:eastAsia="it-IT"/>
        </w:rPr>
        <w:t xml:space="preserve"> del silenzio significativo </w:t>
      </w:r>
      <w:r w:rsidR="00B82A6A" w:rsidRPr="00725496">
        <w:rPr>
          <w:rFonts w:ascii="Times New Roman" w:eastAsia="Times New Roman" w:hAnsi="Times New Roman"/>
          <w:bCs/>
          <w:lang w:eastAsia="it-IT"/>
        </w:rPr>
        <w:t>ai sensi del comma 4</w:t>
      </w:r>
      <w:r w:rsidR="00B95B89" w:rsidRPr="00725496">
        <w:rPr>
          <w:rFonts w:ascii="Times New Roman" w:eastAsia="Times New Roman" w:hAnsi="Times New Roman"/>
          <w:bCs/>
          <w:lang w:eastAsia="it-IT"/>
        </w:rPr>
        <w:t>).</w:t>
      </w:r>
      <w:r w:rsidRPr="00725496">
        <w:rPr>
          <w:rFonts w:ascii="Times New Roman" w:eastAsia="Times New Roman" w:hAnsi="Times New Roman"/>
          <w:bCs/>
          <w:lang w:eastAsia="it-IT"/>
        </w:rPr>
        <w:t xml:space="preserve"> </w:t>
      </w:r>
      <w:r w:rsidR="003509A0" w:rsidRPr="00725496">
        <w:rPr>
          <w:rFonts w:ascii="Times New Roman" w:eastAsia="Times New Roman" w:hAnsi="Times New Roman"/>
          <w:bCs/>
          <w:lang w:eastAsia="it-IT"/>
        </w:rPr>
        <w:t>Come rilevato in dottrina</w:t>
      </w:r>
      <w:r w:rsidR="000E4AB5" w:rsidRPr="00725496">
        <w:rPr>
          <w:rStyle w:val="Rimandonotaapidipagina"/>
          <w:rFonts w:ascii="Times New Roman" w:eastAsia="Times New Roman" w:hAnsi="Times New Roman"/>
          <w:bCs/>
          <w:lang w:eastAsia="it-IT"/>
        </w:rPr>
        <w:footnoteReference w:id="19"/>
      </w:r>
      <w:r w:rsidR="003509A0" w:rsidRPr="00725496">
        <w:rPr>
          <w:rFonts w:ascii="Times New Roman" w:eastAsia="Times New Roman" w:hAnsi="Times New Roman"/>
          <w:bCs/>
          <w:lang w:eastAsia="it-IT"/>
        </w:rPr>
        <w:t xml:space="preserve">, </w:t>
      </w:r>
      <w:r w:rsidRPr="00725496">
        <w:rPr>
          <w:rFonts w:ascii="Times New Roman" w:eastAsia="Times New Roman" w:hAnsi="Times New Roman"/>
          <w:bCs/>
          <w:lang w:eastAsia="it-IT"/>
        </w:rPr>
        <w:t xml:space="preserve">pertanto, </w:t>
      </w:r>
      <w:r w:rsidR="003509A0" w:rsidRPr="00725496">
        <w:t xml:space="preserve">malgrado l’identità strutturale e la medesima valenza in senso lato </w:t>
      </w:r>
      <w:r w:rsidR="003509A0" w:rsidRPr="00725496">
        <w:lastRenderedPageBreak/>
        <w:t xml:space="preserve">acceleratoria tra </w:t>
      </w:r>
      <w:r w:rsidRPr="00725496">
        <w:t>i due tipi di</w:t>
      </w:r>
      <w:r w:rsidR="003509A0" w:rsidRPr="00725496">
        <w:t xml:space="preserve"> silenzio</w:t>
      </w:r>
      <w:r w:rsidR="000E4AB5" w:rsidRPr="00725496">
        <w:t>,</w:t>
      </w:r>
      <w:r w:rsidRPr="00725496">
        <w:t xml:space="preserve"> essi</w:t>
      </w:r>
      <w:r w:rsidR="003509A0" w:rsidRPr="00725496">
        <w:t xml:space="preserve"> pongono problematiche differenti: il primo, in ordine all’equilibrio fra esigenze di tutela della legalità e dell’interesse pubblico ed esigenze di garanzia dell’affidamento dei cittadini, il secondo in ordine alla salvaguardia dell’integrità delle competenze e attribuzioni di determinate amministrazioni.</w:t>
      </w:r>
    </w:p>
    <w:p w14:paraId="496F1706" w14:textId="6ECAC29E" w:rsidR="00355500" w:rsidRPr="00725496" w:rsidRDefault="001359FB" w:rsidP="00725496">
      <w:pPr>
        <w:spacing w:line="276" w:lineRule="auto"/>
        <w:ind w:firstLine="720"/>
        <w:jc w:val="both"/>
      </w:pPr>
      <w:r w:rsidRPr="00725496">
        <w:t xml:space="preserve">Ferma </w:t>
      </w:r>
      <w:r w:rsidR="00555684" w:rsidRPr="00725496">
        <w:t xml:space="preserve">la non identità dei due istituti, la denunciata incoerenza tra </w:t>
      </w:r>
      <w:r w:rsidR="003410B1" w:rsidRPr="00725496">
        <w:t>l’art. 17-</w:t>
      </w:r>
      <w:r w:rsidR="003410B1" w:rsidRPr="00725496">
        <w:rPr>
          <w:i/>
        </w:rPr>
        <w:t>bis</w:t>
      </w:r>
      <w:r w:rsidR="00555684" w:rsidRPr="00725496">
        <w:t xml:space="preserve"> e il disposto dell’art. 20, comma 4 potrebbe stemperarsi a</w:t>
      </w:r>
      <w:r w:rsidR="00636942">
        <w:t xml:space="preserve"> seconda della soluzione cui l’Adunanza P</w:t>
      </w:r>
      <w:r w:rsidR="00555684" w:rsidRPr="00725496">
        <w:t>lenaria intenderà aderire circa la portata di tale ultima dispo</w:t>
      </w:r>
      <w:r w:rsidR="001C03BF" w:rsidRPr="00725496">
        <w:t>si</w:t>
      </w:r>
      <w:r w:rsidR="00555684" w:rsidRPr="00725496">
        <w:t>zione.</w:t>
      </w:r>
    </w:p>
    <w:p w14:paraId="45D30D88" w14:textId="517ABFC4" w:rsidR="00355500" w:rsidRPr="00725496" w:rsidRDefault="001C03BF" w:rsidP="00725496">
      <w:pPr>
        <w:spacing w:line="276" w:lineRule="auto"/>
        <w:ind w:firstLine="720"/>
        <w:jc w:val="both"/>
        <w:rPr>
          <w:rFonts w:ascii="Times New Roman" w:eastAsia="Times New Roman" w:hAnsi="Times New Roman" w:cs="Times New Roman"/>
          <w:lang w:eastAsia="it-IT"/>
        </w:rPr>
      </w:pPr>
      <w:r w:rsidRPr="00725496">
        <w:t>C</w:t>
      </w:r>
      <w:r w:rsidR="00355500" w:rsidRPr="00725496">
        <w:t xml:space="preserve">on ordinanza </w:t>
      </w:r>
      <w:r w:rsidRPr="00725496">
        <w:t xml:space="preserve">n. 642 </w:t>
      </w:r>
      <w:r w:rsidR="00355500" w:rsidRPr="00725496">
        <w:t>dello scorso 17 febbraio la Terza</w:t>
      </w:r>
      <w:r w:rsidR="005C358E" w:rsidRPr="00725496">
        <w:t xml:space="preserve"> sezione del Consiglio di Stato</w:t>
      </w:r>
      <w:r w:rsidR="00355500" w:rsidRPr="00725496">
        <w:t xml:space="preserve"> ha </w:t>
      </w:r>
      <w:r w:rsidR="0008572C" w:rsidRPr="00725496">
        <w:t xml:space="preserve">infatti </w:t>
      </w:r>
      <w:r w:rsidR="00355500" w:rsidRPr="00725496">
        <w:t xml:space="preserve">rimesso alla Plenaria la </w:t>
      </w:r>
      <w:r w:rsidR="00355500" w:rsidRPr="00725496">
        <w:rPr>
          <w:rFonts w:ascii="Times New Roman" w:hAnsi="Times New Roman" w:cs="Times New Roman"/>
        </w:rPr>
        <w:t>questione se</w:t>
      </w:r>
      <w:r w:rsidR="00355500" w:rsidRPr="00725496">
        <w:rPr>
          <w:rFonts w:ascii="Times New Roman" w:eastAsia="Times New Roman" w:hAnsi="Times New Roman" w:cs="Times New Roman"/>
          <w:lang w:eastAsia="it-IT"/>
        </w:rPr>
        <w:t xml:space="preserve"> l'istituto generale del silenzio assenso possa trovare applicazione in materia di tutela ambientale e pa</w:t>
      </w:r>
      <w:r w:rsidR="00636942">
        <w:rPr>
          <w:rFonts w:ascii="Times New Roman" w:eastAsia="Times New Roman" w:hAnsi="Times New Roman" w:cs="Times New Roman"/>
          <w:lang w:eastAsia="it-IT"/>
        </w:rPr>
        <w:t>esaggistica, più in particolare</w:t>
      </w:r>
      <w:r w:rsidR="00355500" w:rsidRPr="00725496">
        <w:rPr>
          <w:rFonts w:ascii="Times New Roman" w:eastAsia="Times New Roman" w:hAnsi="Times New Roman" w:cs="Times New Roman"/>
          <w:lang w:eastAsia="it-IT"/>
        </w:rPr>
        <w:t xml:space="preserve"> se </w:t>
      </w:r>
      <w:r w:rsidR="0008572C" w:rsidRPr="00725496">
        <w:rPr>
          <w:rFonts w:ascii="Times New Roman" w:eastAsia="Times New Roman" w:hAnsi="Times New Roman" w:cs="Times New Roman"/>
          <w:lang w:eastAsia="it-IT"/>
        </w:rPr>
        <w:t xml:space="preserve">il </w:t>
      </w:r>
      <w:r w:rsidR="00355500" w:rsidRPr="00725496">
        <w:rPr>
          <w:rFonts w:ascii="Times New Roman" w:eastAsia="Times New Roman" w:hAnsi="Times New Roman" w:cs="Times New Roman"/>
          <w:lang w:eastAsia="it-IT"/>
        </w:rPr>
        <w:t xml:space="preserve">silenzio assenso </w:t>
      </w:r>
      <w:r w:rsidR="0008572C" w:rsidRPr="00725496">
        <w:rPr>
          <w:rFonts w:ascii="Times New Roman" w:eastAsia="Times New Roman" w:hAnsi="Times New Roman" w:cs="Times New Roman"/>
          <w:lang w:eastAsia="it-IT"/>
        </w:rPr>
        <w:t xml:space="preserve">sulla richiesta di </w:t>
      </w:r>
      <w:r w:rsidR="00355500" w:rsidRPr="00725496">
        <w:rPr>
          <w:rFonts w:ascii="Times New Roman" w:eastAsia="Times New Roman" w:hAnsi="Times New Roman" w:cs="Times New Roman"/>
          <w:lang w:eastAsia="it-IT"/>
        </w:rPr>
        <w:t>nulla osta dell</w:t>
      </w:r>
      <w:r w:rsidR="00086DB4" w:rsidRPr="00725496">
        <w:rPr>
          <w:rFonts w:ascii="Times New Roman" w:eastAsia="Times New Roman" w:hAnsi="Times New Roman" w:cs="Times New Roman"/>
          <w:lang w:eastAsia="it-IT"/>
        </w:rPr>
        <w:t>'Ente Parco previsto dall’art. 13 della</w:t>
      </w:r>
      <w:r w:rsidR="001359FB" w:rsidRPr="00725496">
        <w:rPr>
          <w:rFonts w:ascii="Times New Roman" w:eastAsia="Times New Roman" w:hAnsi="Times New Roman" w:cs="Times New Roman"/>
          <w:lang w:eastAsia="it-IT"/>
        </w:rPr>
        <w:t xml:space="preserve"> l.</w:t>
      </w:r>
      <w:r w:rsidR="00086DB4" w:rsidRPr="00725496">
        <w:rPr>
          <w:rFonts w:ascii="Times New Roman" w:eastAsia="Times New Roman" w:hAnsi="Times New Roman" w:cs="Times New Roman"/>
          <w:lang w:eastAsia="it-IT"/>
        </w:rPr>
        <w:t xml:space="preserve"> n. 394/</w:t>
      </w:r>
      <w:r w:rsidR="00355500" w:rsidRPr="00725496">
        <w:rPr>
          <w:rFonts w:ascii="Times New Roman" w:eastAsia="Times New Roman" w:hAnsi="Times New Roman" w:cs="Times New Roman"/>
          <w:lang w:eastAsia="it-IT"/>
        </w:rPr>
        <w:t xml:space="preserve">1991 per il rilascio di concessioni o autorizzazioni relative ad interventi, impianti ed opere all'interno del parco, </w:t>
      </w:r>
      <w:r w:rsidR="0008572C" w:rsidRPr="00725496">
        <w:rPr>
          <w:rFonts w:ascii="Times New Roman" w:eastAsia="Times New Roman" w:hAnsi="Times New Roman" w:cs="Times New Roman"/>
          <w:lang w:eastAsia="it-IT"/>
        </w:rPr>
        <w:t xml:space="preserve">possa ritenersi ancora vigente dopo </w:t>
      </w:r>
      <w:r w:rsidR="00355500" w:rsidRPr="00725496">
        <w:rPr>
          <w:rFonts w:ascii="Times New Roman" w:eastAsia="Times New Roman" w:hAnsi="Times New Roman" w:cs="Times New Roman"/>
          <w:lang w:eastAsia="it-IT"/>
        </w:rPr>
        <w:t xml:space="preserve">l'entrata in vigore della </w:t>
      </w:r>
      <w:r w:rsidR="001359FB" w:rsidRPr="00725496">
        <w:rPr>
          <w:rFonts w:ascii="Times New Roman" w:eastAsia="Times New Roman" w:hAnsi="Times New Roman" w:cs="Times New Roman"/>
          <w:lang w:eastAsia="it-IT"/>
        </w:rPr>
        <w:t>l.</w:t>
      </w:r>
      <w:r w:rsidR="00A85402" w:rsidRPr="00725496">
        <w:rPr>
          <w:rFonts w:ascii="Times New Roman" w:eastAsia="Times New Roman" w:hAnsi="Times New Roman" w:cs="Times New Roman"/>
          <w:lang w:eastAsia="it-IT"/>
        </w:rPr>
        <w:t xml:space="preserve"> n. 80/</w:t>
      </w:r>
      <w:r w:rsidR="00355500" w:rsidRPr="00725496">
        <w:rPr>
          <w:rFonts w:ascii="Times New Roman" w:eastAsia="Times New Roman" w:hAnsi="Times New Roman" w:cs="Times New Roman"/>
          <w:lang w:eastAsia="it-IT"/>
        </w:rPr>
        <w:t xml:space="preserve">2005, che, nell'innovare l'art. 20, </w:t>
      </w:r>
      <w:r w:rsidR="0008572C" w:rsidRPr="00725496">
        <w:rPr>
          <w:rFonts w:ascii="Times New Roman" w:eastAsia="Times New Roman" w:hAnsi="Times New Roman" w:cs="Times New Roman"/>
          <w:lang w:eastAsia="it-IT"/>
        </w:rPr>
        <w:t xml:space="preserve">generalizzando </w:t>
      </w:r>
      <w:r w:rsidR="00355500" w:rsidRPr="00725496">
        <w:rPr>
          <w:rFonts w:ascii="Times New Roman" w:eastAsia="Times New Roman" w:hAnsi="Times New Roman" w:cs="Times New Roman"/>
          <w:lang w:eastAsia="it-IT"/>
        </w:rPr>
        <w:t>l'istituto del silenzio assenso</w:t>
      </w:r>
      <w:r w:rsidR="0008572C" w:rsidRPr="00725496">
        <w:rPr>
          <w:rFonts w:ascii="Times New Roman" w:eastAsia="Times New Roman" w:hAnsi="Times New Roman" w:cs="Times New Roman"/>
          <w:lang w:eastAsia="it-IT"/>
        </w:rPr>
        <w:t>, ne ha escluso l’</w:t>
      </w:r>
      <w:r w:rsidR="00355500" w:rsidRPr="00725496">
        <w:rPr>
          <w:rFonts w:ascii="Times New Roman" w:eastAsia="Times New Roman" w:hAnsi="Times New Roman" w:cs="Times New Roman"/>
          <w:lang w:eastAsia="it-IT"/>
        </w:rPr>
        <w:t>applicazione in materia di tutela ambientale e paesaggistica.</w:t>
      </w:r>
    </w:p>
    <w:p w14:paraId="076D53E3" w14:textId="796AF81E" w:rsidR="00140BC6" w:rsidRPr="00725496" w:rsidRDefault="000F6C18" w:rsidP="00725496">
      <w:pPr>
        <w:spacing w:line="276" w:lineRule="auto"/>
        <w:ind w:firstLine="720"/>
        <w:jc w:val="both"/>
        <w:rPr>
          <w:rFonts w:ascii="Times New Roman" w:eastAsia="Times New Roman" w:hAnsi="Times New Roman" w:cs="Times New Roman"/>
          <w:lang w:eastAsia="it-IT"/>
        </w:rPr>
      </w:pPr>
      <w:r w:rsidRPr="00725496">
        <w:t xml:space="preserve">L’orientamento </w:t>
      </w:r>
      <w:r w:rsidR="001359FB" w:rsidRPr="00725496">
        <w:t xml:space="preserve">che sostiene </w:t>
      </w:r>
      <w:r w:rsidR="005566D7" w:rsidRPr="00725496">
        <w:t xml:space="preserve">la </w:t>
      </w:r>
      <w:r w:rsidR="00355500" w:rsidRPr="00725496">
        <w:rPr>
          <w:rFonts w:ascii="Times New Roman" w:hAnsi="Times New Roman" w:cs="Times New Roman"/>
        </w:rPr>
        <w:t>perdurante operatività del meccanismo del silenzio a</w:t>
      </w:r>
      <w:r w:rsidRPr="00725496">
        <w:rPr>
          <w:rFonts w:ascii="Times New Roman" w:hAnsi="Times New Roman" w:cs="Times New Roman"/>
        </w:rPr>
        <w:t>ssenso previsto dall’art. 13, attribuibile dalla Sesta sezione</w:t>
      </w:r>
      <w:r w:rsidRPr="00725496">
        <w:rPr>
          <w:rStyle w:val="Rimandonotaapidipagina"/>
          <w:rFonts w:ascii="Times New Roman" w:hAnsi="Times New Roman" w:cs="Times New Roman"/>
        </w:rPr>
        <w:footnoteReference w:id="20"/>
      </w:r>
      <w:r w:rsidRPr="00725496">
        <w:rPr>
          <w:rFonts w:ascii="Times New Roman" w:hAnsi="Times New Roman" w:cs="Times New Roman"/>
        </w:rPr>
        <w:t xml:space="preserve">, </w:t>
      </w:r>
      <w:r w:rsidR="00086DB4" w:rsidRPr="00725496">
        <w:rPr>
          <w:rFonts w:ascii="Times New Roman" w:hAnsi="Times New Roman" w:cs="Times New Roman"/>
        </w:rPr>
        <w:t>ha varie frecce al proprio arco</w:t>
      </w:r>
      <w:r w:rsidR="007B1F6A" w:rsidRPr="00725496">
        <w:rPr>
          <w:rFonts w:ascii="Times New Roman" w:hAnsi="Times New Roman" w:cs="Times New Roman"/>
        </w:rPr>
        <w:t>. Esso fa leva in primo luogo sulla</w:t>
      </w:r>
      <w:r w:rsidR="00355500" w:rsidRPr="00725496">
        <w:rPr>
          <w:rFonts w:ascii="Times New Roman" w:hAnsi="Times New Roman" w:cs="Times New Roman"/>
        </w:rPr>
        <w:t xml:space="preserve"> formulazione l</w:t>
      </w:r>
      <w:r w:rsidR="007B1F6A" w:rsidRPr="00725496">
        <w:rPr>
          <w:rFonts w:ascii="Times New Roman" w:hAnsi="Times New Roman" w:cs="Times New Roman"/>
        </w:rPr>
        <w:t>etterale dell'art. 20, comma 4</w:t>
      </w:r>
      <w:r w:rsidR="00355500" w:rsidRPr="00725496">
        <w:rPr>
          <w:rFonts w:ascii="Times New Roman" w:hAnsi="Times New Roman" w:cs="Times New Roman"/>
        </w:rPr>
        <w:t xml:space="preserve">, in base al quale </w:t>
      </w:r>
      <w:r w:rsidR="007B1F6A" w:rsidRPr="00725496">
        <w:rPr>
          <w:rFonts w:ascii="Times New Roman" w:hAnsi="Times New Roman" w:cs="Times New Roman"/>
        </w:rPr>
        <w:t>“</w:t>
      </w:r>
      <w:r w:rsidR="00355500" w:rsidRPr="00725496">
        <w:rPr>
          <w:rFonts w:ascii="Times New Roman" w:hAnsi="Times New Roman" w:cs="Times New Roman"/>
          <w:i/>
        </w:rPr>
        <w:t xml:space="preserve">le disposizioni del presente articolo non si applicano agli atti e ai procedimenti riguardanti il patrimonio culturale, </w:t>
      </w:r>
      <w:r w:rsidR="007B1F6A" w:rsidRPr="00725496">
        <w:rPr>
          <w:rFonts w:ascii="Times New Roman" w:hAnsi="Times New Roman" w:cs="Times New Roman"/>
          <w:i/>
        </w:rPr>
        <w:t>e paesaggistico e l'ambiente</w:t>
      </w:r>
      <w:r w:rsidR="007B1F6A" w:rsidRPr="00725496">
        <w:rPr>
          <w:rFonts w:ascii="Times New Roman" w:hAnsi="Times New Roman" w:cs="Times New Roman"/>
        </w:rPr>
        <w:t>”</w:t>
      </w:r>
      <w:r w:rsidR="00355500" w:rsidRPr="00725496">
        <w:rPr>
          <w:rFonts w:ascii="Times New Roman" w:hAnsi="Times New Roman" w:cs="Times New Roman"/>
        </w:rPr>
        <w:t xml:space="preserve">. La disposizione, ad avviso </w:t>
      </w:r>
      <w:r w:rsidR="007B1F6A" w:rsidRPr="00725496">
        <w:rPr>
          <w:rFonts w:ascii="Times New Roman" w:hAnsi="Times New Roman" w:cs="Times New Roman"/>
        </w:rPr>
        <w:t>della giurisprudenza in esame</w:t>
      </w:r>
      <w:r w:rsidR="00355500" w:rsidRPr="00725496">
        <w:rPr>
          <w:rFonts w:ascii="Times New Roman" w:hAnsi="Times New Roman" w:cs="Times New Roman"/>
        </w:rPr>
        <w:t xml:space="preserve">, sarebbe invero chiara nel riferire l'eccezione solo alle "disposizioni del presente articolo", escludendo </w:t>
      </w:r>
      <w:r w:rsidR="00355500" w:rsidRPr="00725496">
        <w:rPr>
          <w:rFonts w:ascii="Times New Roman" w:hAnsi="Times New Roman" w:cs="Times New Roman"/>
        </w:rPr>
        <w:lastRenderedPageBreak/>
        <w:t>pertanto le ipotesi di silenzio assenso previste</w:t>
      </w:r>
      <w:r w:rsidR="007B1F6A" w:rsidRPr="00725496">
        <w:rPr>
          <w:rFonts w:ascii="Times New Roman" w:hAnsi="Times New Roman" w:cs="Times New Roman"/>
        </w:rPr>
        <w:t xml:space="preserve"> altrove</w:t>
      </w:r>
      <w:r w:rsidR="00355500" w:rsidRPr="00725496">
        <w:rPr>
          <w:rFonts w:ascii="Times New Roman" w:hAnsi="Times New Roman" w:cs="Times New Roman"/>
        </w:rPr>
        <w:t>, anche nell'ambito di procedimenti dello stesso tipo di quelli richiamati.</w:t>
      </w:r>
      <w:r w:rsidR="007B1F6A" w:rsidRPr="00725496">
        <w:rPr>
          <w:rFonts w:ascii="Times New Roman" w:hAnsi="Times New Roman" w:cs="Times New Roman"/>
        </w:rPr>
        <w:t xml:space="preserve"> La tesi sarebbe </w:t>
      </w:r>
      <w:r w:rsidR="003415C6" w:rsidRPr="00725496">
        <w:rPr>
          <w:rFonts w:ascii="Times New Roman" w:hAnsi="Times New Roman" w:cs="Times New Roman"/>
        </w:rPr>
        <w:t xml:space="preserve">inoltre </w:t>
      </w:r>
      <w:r w:rsidR="007B1F6A" w:rsidRPr="00725496">
        <w:rPr>
          <w:rFonts w:ascii="Times New Roman" w:hAnsi="Times New Roman" w:cs="Times New Roman"/>
        </w:rPr>
        <w:t>avallata dall</w:t>
      </w:r>
      <w:r w:rsidR="00355500" w:rsidRPr="00725496">
        <w:rPr>
          <w:rFonts w:ascii="Times New Roman" w:hAnsi="Times New Roman" w:cs="Times New Roman"/>
        </w:rPr>
        <w:t xml:space="preserve">a </w:t>
      </w:r>
      <w:r w:rsidR="00355500" w:rsidRPr="00725496">
        <w:rPr>
          <w:rFonts w:ascii="Times New Roman" w:hAnsi="Times New Roman" w:cs="Times New Roman"/>
          <w:i/>
        </w:rPr>
        <w:t>ratio</w:t>
      </w:r>
      <w:r w:rsidR="00355500" w:rsidRPr="00725496">
        <w:rPr>
          <w:rFonts w:ascii="Times New Roman" w:hAnsi="Times New Roman" w:cs="Times New Roman"/>
        </w:rPr>
        <w:t xml:space="preserve"> della riforma del</w:t>
      </w:r>
      <w:r w:rsidR="0008572C" w:rsidRPr="00725496">
        <w:rPr>
          <w:rFonts w:ascii="Times New Roman" w:hAnsi="Times New Roman" w:cs="Times New Roman"/>
        </w:rPr>
        <w:t xml:space="preserve"> 2005</w:t>
      </w:r>
      <w:r w:rsidR="00355500" w:rsidRPr="00725496">
        <w:rPr>
          <w:rFonts w:ascii="Times New Roman" w:hAnsi="Times New Roman" w:cs="Times New Roman"/>
        </w:rPr>
        <w:t xml:space="preserve">, </w:t>
      </w:r>
      <w:r w:rsidR="0008572C" w:rsidRPr="00725496">
        <w:rPr>
          <w:rFonts w:ascii="Times New Roman" w:hAnsi="Times New Roman" w:cs="Times New Roman"/>
        </w:rPr>
        <w:t xml:space="preserve">diretta a generalizzare il </w:t>
      </w:r>
      <w:r w:rsidR="00A85402" w:rsidRPr="00725496">
        <w:rPr>
          <w:rFonts w:ascii="Times New Roman" w:hAnsi="Times New Roman" w:cs="Times New Roman"/>
        </w:rPr>
        <w:t>silenzio assenso:</w:t>
      </w:r>
      <w:r w:rsidR="003415C6" w:rsidRPr="00725496">
        <w:rPr>
          <w:rFonts w:ascii="Times New Roman" w:hAnsi="Times New Roman" w:cs="Times New Roman"/>
        </w:rPr>
        <w:t xml:space="preserve"> </w:t>
      </w:r>
      <w:r w:rsidR="00A85402" w:rsidRPr="00725496">
        <w:rPr>
          <w:rFonts w:ascii="Times New Roman" w:hAnsi="Times New Roman" w:cs="Times New Roman"/>
        </w:rPr>
        <w:t xml:space="preserve">sarebbe </w:t>
      </w:r>
      <w:r w:rsidR="00355500" w:rsidRPr="00725496">
        <w:rPr>
          <w:rFonts w:ascii="Times New Roman" w:hAnsi="Times New Roman" w:cs="Times New Roman"/>
        </w:rPr>
        <w:t xml:space="preserve">irragionevole ritenere che </w:t>
      </w:r>
      <w:r w:rsidR="00A85402" w:rsidRPr="00725496">
        <w:rPr>
          <w:rFonts w:ascii="Times New Roman" w:hAnsi="Times New Roman" w:cs="Times New Roman"/>
        </w:rPr>
        <w:t>la novella abbia</w:t>
      </w:r>
      <w:r w:rsidR="00355500" w:rsidRPr="00725496">
        <w:rPr>
          <w:rFonts w:ascii="Times New Roman" w:hAnsi="Times New Roman" w:cs="Times New Roman"/>
        </w:rPr>
        <w:t xml:space="preserve"> comportato un effetto abrogante su norme che tale istituto già prevedevano.</w:t>
      </w:r>
      <w:r w:rsidR="003415C6" w:rsidRPr="00725496">
        <w:rPr>
          <w:rFonts w:ascii="Times New Roman" w:hAnsi="Times New Roman" w:cs="Times New Roman"/>
        </w:rPr>
        <w:t xml:space="preserve"> Con argomentazione più strettamente connessa alla specifica n</w:t>
      </w:r>
      <w:r w:rsidR="00A85402" w:rsidRPr="00725496">
        <w:rPr>
          <w:rFonts w:ascii="Times New Roman" w:hAnsi="Times New Roman" w:cs="Times New Roman"/>
        </w:rPr>
        <w:t>ormativa esaminata,</w:t>
      </w:r>
      <w:r w:rsidR="003415C6" w:rsidRPr="00725496">
        <w:rPr>
          <w:rFonts w:ascii="Times New Roman" w:hAnsi="Times New Roman" w:cs="Times New Roman"/>
        </w:rPr>
        <w:t xml:space="preserve"> la </w:t>
      </w:r>
      <w:r w:rsidR="003415C6" w:rsidRPr="00725496">
        <w:rPr>
          <w:rFonts w:ascii="Times New Roman" w:eastAsia="Times New Roman" w:hAnsi="Times New Roman" w:cs="Times New Roman"/>
          <w:lang w:eastAsia="it-IT"/>
        </w:rPr>
        <w:t xml:space="preserve">Sesta sezione afferma che </w:t>
      </w:r>
      <w:r w:rsidR="00A85402" w:rsidRPr="00725496">
        <w:rPr>
          <w:rFonts w:ascii="Times New Roman" w:eastAsia="Times New Roman" w:hAnsi="Times New Roman" w:cs="Times New Roman"/>
          <w:lang w:eastAsia="it-IT"/>
        </w:rPr>
        <w:t xml:space="preserve">anche il basso tasso di discrezionalità che caratterizza </w:t>
      </w:r>
      <w:r w:rsidR="003415C6" w:rsidRPr="00725496">
        <w:rPr>
          <w:rFonts w:ascii="Times New Roman" w:eastAsia="Times New Roman" w:hAnsi="Times New Roman" w:cs="Times New Roman"/>
          <w:lang w:eastAsia="it-IT"/>
        </w:rPr>
        <w:t xml:space="preserve">il procedimento </w:t>
      </w:r>
      <w:r w:rsidR="00A85402" w:rsidRPr="00725496">
        <w:rPr>
          <w:rFonts w:ascii="Times New Roman" w:eastAsia="Times New Roman" w:hAnsi="Times New Roman" w:cs="Times New Roman"/>
          <w:lang w:eastAsia="it-IT"/>
        </w:rPr>
        <w:t xml:space="preserve">di cui </w:t>
      </w:r>
      <w:r w:rsidR="003415C6" w:rsidRPr="00725496">
        <w:rPr>
          <w:rFonts w:ascii="Times New Roman" w:eastAsia="Times New Roman" w:hAnsi="Times New Roman" w:cs="Times New Roman"/>
          <w:lang w:eastAsia="it-IT"/>
        </w:rPr>
        <w:t xml:space="preserve">all’art. 13 </w:t>
      </w:r>
      <w:r w:rsidR="00A85402" w:rsidRPr="00725496">
        <w:rPr>
          <w:rFonts w:ascii="Times New Roman" w:eastAsia="Times New Roman" w:hAnsi="Times New Roman" w:cs="Times New Roman"/>
          <w:lang w:eastAsia="it-IT"/>
        </w:rPr>
        <w:t>(</w:t>
      </w:r>
      <w:r w:rsidR="00355500" w:rsidRPr="00725496">
        <w:rPr>
          <w:rFonts w:ascii="Times New Roman" w:eastAsia="Times New Roman" w:hAnsi="Times New Roman" w:cs="Times New Roman"/>
          <w:lang w:eastAsia="it-IT"/>
        </w:rPr>
        <w:t>in cui ulteriori specifici interessi ambientali vengono valutati in modo espresso, tramite autorizzazioni paesaggistiche</w:t>
      </w:r>
      <w:r w:rsidR="00140BC6" w:rsidRPr="00725496">
        <w:rPr>
          <w:rFonts w:ascii="Times New Roman" w:eastAsia="Times New Roman" w:hAnsi="Times New Roman" w:cs="Times New Roman"/>
          <w:lang w:eastAsia="it-IT"/>
        </w:rPr>
        <w:t xml:space="preserve">, idrogeologiche e </w:t>
      </w:r>
      <w:r w:rsidR="00355500" w:rsidRPr="00725496">
        <w:rPr>
          <w:rFonts w:ascii="Times New Roman" w:eastAsia="Times New Roman" w:hAnsi="Times New Roman" w:cs="Times New Roman"/>
          <w:lang w:eastAsia="it-IT"/>
        </w:rPr>
        <w:t>archeologiche</w:t>
      </w:r>
      <w:r w:rsidR="00A85402" w:rsidRPr="00725496">
        <w:rPr>
          <w:rFonts w:ascii="Times New Roman" w:eastAsia="Times New Roman" w:hAnsi="Times New Roman" w:cs="Times New Roman"/>
          <w:lang w:eastAsia="it-IT"/>
        </w:rPr>
        <w:t>) farebbe optare per la perdurante vigenza del silenzio-assenso</w:t>
      </w:r>
      <w:r w:rsidR="00355500" w:rsidRPr="00725496">
        <w:rPr>
          <w:rFonts w:ascii="Times New Roman" w:eastAsia="Times New Roman" w:hAnsi="Times New Roman" w:cs="Times New Roman"/>
          <w:lang w:eastAsia="it-IT"/>
        </w:rPr>
        <w:t>.</w:t>
      </w:r>
    </w:p>
    <w:p w14:paraId="44229979" w14:textId="0836A3AB" w:rsidR="00355500" w:rsidRPr="00725496" w:rsidRDefault="002B2A4A" w:rsidP="00725496">
      <w:pPr>
        <w:spacing w:line="276" w:lineRule="auto"/>
        <w:ind w:firstLine="720"/>
        <w:jc w:val="both"/>
        <w:rPr>
          <w:rFonts w:ascii="Times New Roman" w:eastAsia="Times New Roman" w:hAnsi="Times New Roman" w:cs="Times New Roman"/>
          <w:lang w:eastAsia="it-IT"/>
        </w:rPr>
      </w:pPr>
      <w:r w:rsidRPr="00725496">
        <w:rPr>
          <w:rFonts w:ascii="Times New Roman" w:eastAsia="Times New Roman" w:hAnsi="Times New Roman" w:cs="Times New Roman"/>
          <w:lang w:eastAsia="it-IT"/>
        </w:rPr>
        <w:t>La tesi opposta è propugnata dalla</w:t>
      </w:r>
      <w:r w:rsidR="0008572C" w:rsidRPr="00725496">
        <w:rPr>
          <w:rFonts w:ascii="Times New Roman" w:eastAsia="Times New Roman" w:hAnsi="Times New Roman" w:cs="Times New Roman"/>
          <w:lang w:eastAsia="it-IT"/>
        </w:rPr>
        <w:t xml:space="preserve"> Quarta </w:t>
      </w:r>
      <w:r w:rsidRPr="00725496">
        <w:rPr>
          <w:rFonts w:ascii="Times New Roman" w:eastAsia="Times New Roman" w:hAnsi="Times New Roman" w:cs="Times New Roman"/>
          <w:lang w:eastAsia="it-IT"/>
        </w:rPr>
        <w:t>Sezione</w:t>
      </w:r>
      <w:r w:rsidRPr="00725496">
        <w:rPr>
          <w:rStyle w:val="Rimandonotaapidipagina"/>
          <w:rFonts w:ascii="Times New Roman" w:eastAsia="Times New Roman" w:hAnsi="Times New Roman" w:cs="Times New Roman"/>
          <w:lang w:eastAsia="it-IT"/>
        </w:rPr>
        <w:footnoteReference w:id="21"/>
      </w:r>
      <w:r w:rsidRPr="00725496">
        <w:rPr>
          <w:rFonts w:ascii="Times New Roman" w:eastAsia="Times New Roman" w:hAnsi="Times New Roman" w:cs="Times New Roman"/>
          <w:lang w:eastAsia="it-IT"/>
        </w:rPr>
        <w:t>, secondo cui sarebbe intervenuta un</w:t>
      </w:r>
      <w:r w:rsidR="00355500" w:rsidRPr="00725496">
        <w:rPr>
          <w:rFonts w:ascii="Times New Roman" w:eastAsia="Times New Roman" w:hAnsi="Times New Roman" w:cs="Times New Roman"/>
          <w:lang w:eastAsia="it-IT"/>
        </w:rPr>
        <w:t>’abrogazione implicita</w:t>
      </w:r>
      <w:r w:rsidR="005566D7" w:rsidRPr="00725496">
        <w:rPr>
          <w:rFonts w:ascii="Times New Roman" w:eastAsia="Times New Roman" w:hAnsi="Times New Roman" w:cs="Times New Roman"/>
          <w:lang w:eastAsia="it-IT"/>
        </w:rPr>
        <w:t xml:space="preserve"> della disposizione in esame ad opera dell’art. 20, comma 4. L’argomento muove dalla</w:t>
      </w:r>
      <w:r w:rsidR="0008572C" w:rsidRPr="00725496">
        <w:rPr>
          <w:rFonts w:ascii="Times New Roman" w:eastAsia="Times New Roman" w:hAnsi="Times New Roman" w:cs="Times New Roman"/>
          <w:lang w:eastAsia="it-IT"/>
        </w:rPr>
        <w:t xml:space="preserve"> natura generale di </w:t>
      </w:r>
      <w:r w:rsidR="00355500" w:rsidRPr="00725496">
        <w:rPr>
          <w:rFonts w:ascii="Times New Roman" w:eastAsia="Times New Roman" w:hAnsi="Times New Roman" w:cs="Times New Roman"/>
          <w:lang w:eastAsia="it-IT"/>
        </w:rPr>
        <w:t>entrambe le norme</w:t>
      </w:r>
      <w:r w:rsidR="00636942">
        <w:rPr>
          <w:rFonts w:ascii="Times New Roman" w:eastAsia="Times New Roman" w:hAnsi="Times New Roman" w:cs="Times New Roman"/>
          <w:lang w:eastAsia="it-IT"/>
        </w:rPr>
        <w:t xml:space="preserve"> e</w:t>
      </w:r>
      <w:r w:rsidR="00AC2F7F" w:rsidRPr="00725496">
        <w:rPr>
          <w:rFonts w:ascii="Times New Roman" w:eastAsia="Times New Roman" w:hAnsi="Times New Roman" w:cs="Times New Roman"/>
          <w:lang w:eastAsia="it-IT"/>
        </w:rPr>
        <w:t xml:space="preserve"> </w:t>
      </w:r>
      <w:r w:rsidR="00636942">
        <w:rPr>
          <w:rFonts w:ascii="Times New Roman" w:eastAsia="Times New Roman" w:hAnsi="Times New Roman" w:cs="Times New Roman"/>
          <w:lang w:eastAsia="it-IT"/>
        </w:rPr>
        <w:t>dall’</w:t>
      </w:r>
      <w:r w:rsidR="00AC2F7F" w:rsidRPr="00725496">
        <w:rPr>
          <w:rFonts w:ascii="Times New Roman" w:eastAsia="Times New Roman" w:hAnsi="Times New Roman" w:cs="Times New Roman"/>
          <w:lang w:eastAsia="it-IT"/>
        </w:rPr>
        <w:t>esclusione di</w:t>
      </w:r>
      <w:r w:rsidR="00355500" w:rsidRPr="00725496">
        <w:rPr>
          <w:rFonts w:ascii="Times New Roman" w:eastAsia="Times New Roman" w:hAnsi="Times New Roman" w:cs="Times New Roman"/>
          <w:lang w:eastAsia="it-IT"/>
        </w:rPr>
        <w:t xml:space="preserve"> un rapporto di specialità</w:t>
      </w:r>
      <w:r w:rsidR="00AC2F7F" w:rsidRPr="00725496">
        <w:rPr>
          <w:rFonts w:ascii="Times New Roman" w:eastAsia="Times New Roman" w:hAnsi="Times New Roman" w:cs="Times New Roman"/>
          <w:lang w:eastAsia="it-IT"/>
        </w:rPr>
        <w:t xml:space="preserve"> tra le stesse</w:t>
      </w:r>
      <w:r w:rsidR="00636942">
        <w:rPr>
          <w:rFonts w:ascii="Times New Roman" w:eastAsia="Times New Roman" w:hAnsi="Times New Roman" w:cs="Times New Roman"/>
          <w:lang w:eastAsia="it-IT"/>
        </w:rPr>
        <w:t>, facendone conseguire l’</w:t>
      </w:r>
      <w:r w:rsidR="00FC78C0" w:rsidRPr="00725496">
        <w:rPr>
          <w:rFonts w:ascii="Times New Roman" w:eastAsia="Times New Roman" w:hAnsi="Times New Roman" w:cs="Times New Roman"/>
          <w:lang w:eastAsia="it-IT"/>
        </w:rPr>
        <w:t>operatività del</w:t>
      </w:r>
      <w:r w:rsidR="00AC2F7F" w:rsidRPr="00725496">
        <w:rPr>
          <w:rFonts w:ascii="Times New Roman" w:eastAsia="Times New Roman" w:hAnsi="Times New Roman" w:cs="Times New Roman"/>
          <w:lang w:eastAsia="it-IT"/>
        </w:rPr>
        <w:t xml:space="preserve"> mero </w:t>
      </w:r>
      <w:r w:rsidR="00355500" w:rsidRPr="00725496">
        <w:rPr>
          <w:rFonts w:ascii="Times New Roman" w:eastAsia="Times New Roman" w:hAnsi="Times New Roman" w:cs="Times New Roman"/>
          <w:lang w:eastAsia="it-IT"/>
        </w:rPr>
        <w:t>criterio cronologico in forza del quale la legge posteriore abroga la precedente.</w:t>
      </w:r>
    </w:p>
    <w:p w14:paraId="7E669FEE" w14:textId="67DBB65D" w:rsidR="00355500" w:rsidRPr="00725496" w:rsidRDefault="00355500" w:rsidP="00725496">
      <w:pPr>
        <w:spacing w:line="276" w:lineRule="auto"/>
        <w:ind w:firstLine="720"/>
        <w:jc w:val="both"/>
        <w:rPr>
          <w:rFonts w:ascii="Times New Roman" w:eastAsia="Times New Roman" w:hAnsi="Times New Roman" w:cs="Times New Roman"/>
          <w:lang w:eastAsia="it-IT"/>
        </w:rPr>
      </w:pPr>
      <w:r w:rsidRPr="00725496">
        <w:rPr>
          <w:rFonts w:ascii="Times New Roman" w:eastAsia="Times New Roman" w:hAnsi="Times New Roman" w:cs="Times New Roman"/>
          <w:lang w:eastAsia="it-IT"/>
        </w:rPr>
        <w:t xml:space="preserve">E’ evidente che la soluzione al predetto quesito potrebbe produrre notevoli riflessi </w:t>
      </w:r>
      <w:r w:rsidR="005A79F7" w:rsidRPr="00725496">
        <w:rPr>
          <w:rFonts w:ascii="Times New Roman" w:eastAsia="Times New Roman" w:hAnsi="Times New Roman" w:cs="Times New Roman"/>
          <w:lang w:eastAsia="it-IT"/>
        </w:rPr>
        <w:t>sistematici</w:t>
      </w:r>
      <w:r w:rsidRPr="00725496">
        <w:rPr>
          <w:rFonts w:ascii="Times New Roman" w:eastAsia="Times New Roman" w:hAnsi="Times New Roman" w:cs="Times New Roman"/>
          <w:lang w:eastAsia="it-IT"/>
        </w:rPr>
        <w:t xml:space="preserve"> sull’istituto in esame.</w:t>
      </w:r>
    </w:p>
    <w:p w14:paraId="421259A8" w14:textId="1DA6B747" w:rsidR="00355500" w:rsidRPr="00725496" w:rsidRDefault="00355500" w:rsidP="00725496">
      <w:pPr>
        <w:spacing w:line="276" w:lineRule="auto"/>
        <w:ind w:firstLine="720"/>
        <w:jc w:val="both"/>
        <w:rPr>
          <w:rFonts w:ascii="Times New Roman" w:eastAsia="Times New Roman" w:hAnsi="Times New Roman" w:cs="Times New Roman"/>
          <w:lang w:eastAsia="it-IT"/>
        </w:rPr>
      </w:pPr>
      <w:r w:rsidRPr="00725496">
        <w:rPr>
          <w:rFonts w:ascii="Times New Roman" w:eastAsia="Times New Roman" w:hAnsi="Times New Roman" w:cs="Times New Roman"/>
          <w:lang w:eastAsia="it-IT"/>
        </w:rPr>
        <w:t xml:space="preserve">Se </w:t>
      </w:r>
      <w:r w:rsidR="0004739B">
        <w:rPr>
          <w:rFonts w:ascii="Times New Roman" w:eastAsia="Times New Roman" w:hAnsi="Times New Roman" w:cs="Times New Roman"/>
          <w:lang w:eastAsia="it-IT"/>
        </w:rPr>
        <w:t>la Plenaria</w:t>
      </w:r>
      <w:r w:rsidRPr="00725496">
        <w:rPr>
          <w:rFonts w:ascii="Times New Roman" w:eastAsia="Times New Roman" w:hAnsi="Times New Roman" w:cs="Times New Roman"/>
          <w:lang w:eastAsia="it-IT"/>
        </w:rPr>
        <w:t xml:space="preserve"> dirimesse il contrasto riconoscendo la legittimità di disposizioni speciali che prevedono l’operatività del meccanismo del silenzio assenso in una materia “sensibile”</w:t>
      </w:r>
      <w:r w:rsidR="00ED38B8" w:rsidRPr="00725496">
        <w:rPr>
          <w:rFonts w:ascii="Times New Roman" w:eastAsia="Times New Roman" w:hAnsi="Times New Roman" w:cs="Times New Roman"/>
          <w:lang w:eastAsia="it-IT"/>
        </w:rPr>
        <w:t>,</w:t>
      </w:r>
      <w:r w:rsidRPr="00725496">
        <w:rPr>
          <w:rFonts w:ascii="Times New Roman" w:eastAsia="Times New Roman" w:hAnsi="Times New Roman" w:cs="Times New Roman"/>
          <w:lang w:eastAsia="it-IT"/>
        </w:rPr>
        <w:t xml:space="preserve"> quale quella ambientale-paesaggistica</w:t>
      </w:r>
      <w:r w:rsidR="00ED38B8" w:rsidRPr="00725496">
        <w:rPr>
          <w:rFonts w:ascii="Times New Roman" w:eastAsia="Times New Roman" w:hAnsi="Times New Roman" w:cs="Times New Roman"/>
          <w:lang w:eastAsia="it-IT"/>
        </w:rPr>
        <w:t>,</w:t>
      </w:r>
      <w:r w:rsidRPr="00725496">
        <w:rPr>
          <w:rFonts w:ascii="Times New Roman" w:eastAsia="Times New Roman" w:hAnsi="Times New Roman" w:cs="Times New Roman"/>
          <w:lang w:eastAsia="it-IT"/>
        </w:rPr>
        <w:t xml:space="preserve"> risulterebbe indebolita una delle maggiori obiezioni mosse dalla dottrina nei confronti del neo introdotto istituto: l’irragionevolezza del diverso trattamento di alcuni interessi sensibili a seconda che l’intervento dell’amministrazione preposta alla tutela ambientale sia richiesto da un soggetto privato o da altra amministrazione competente all’adozione del provvedimento finale. </w:t>
      </w:r>
    </w:p>
    <w:p w14:paraId="020F4C22" w14:textId="77777777" w:rsidR="009705D8" w:rsidRPr="00725496" w:rsidRDefault="009705D8" w:rsidP="00725496">
      <w:pPr>
        <w:spacing w:line="276" w:lineRule="auto"/>
        <w:ind w:firstLine="720"/>
        <w:jc w:val="both"/>
        <w:rPr>
          <w:rFonts w:ascii="Times New Roman" w:eastAsia="Times New Roman" w:hAnsi="Times New Roman" w:cs="Times New Roman"/>
          <w:lang w:eastAsia="it-IT"/>
        </w:rPr>
      </w:pPr>
    </w:p>
    <w:p w14:paraId="70BC89C7" w14:textId="3DC5BE1C" w:rsidR="00E05C27" w:rsidRPr="00725496" w:rsidRDefault="00105E5A" w:rsidP="00725496">
      <w:pPr>
        <w:spacing w:line="276" w:lineRule="auto"/>
        <w:ind w:firstLine="720"/>
        <w:jc w:val="both"/>
        <w:rPr>
          <w:b/>
        </w:rPr>
      </w:pPr>
      <w:r w:rsidRPr="00725496">
        <w:rPr>
          <w:b/>
        </w:rPr>
        <w:t>3.</w:t>
      </w:r>
      <w:r w:rsidR="00E05C27" w:rsidRPr="00725496">
        <w:rPr>
          <w:b/>
        </w:rPr>
        <w:t xml:space="preserve"> I rapporti tra l’art. </w:t>
      </w:r>
      <w:r w:rsidR="001E73B5" w:rsidRPr="00725496">
        <w:rPr>
          <w:b/>
        </w:rPr>
        <w:t>17-</w:t>
      </w:r>
      <w:r w:rsidR="001E73B5" w:rsidRPr="00725496">
        <w:rPr>
          <w:b/>
          <w:i/>
        </w:rPr>
        <w:t>bis</w:t>
      </w:r>
      <w:r w:rsidR="001E73B5" w:rsidRPr="00725496">
        <w:rPr>
          <w:b/>
        </w:rPr>
        <w:t xml:space="preserve"> </w:t>
      </w:r>
      <w:r w:rsidR="005E7351" w:rsidRPr="00725496">
        <w:rPr>
          <w:b/>
        </w:rPr>
        <w:t>e la c</w:t>
      </w:r>
      <w:r w:rsidR="00E05C27" w:rsidRPr="00725496">
        <w:rPr>
          <w:b/>
        </w:rPr>
        <w:t>onferenza di servizi.</w:t>
      </w:r>
    </w:p>
    <w:p w14:paraId="4F266247" w14:textId="4FA98022" w:rsidR="00577FE0" w:rsidRPr="00725496" w:rsidRDefault="008C4A59" w:rsidP="00725496">
      <w:pPr>
        <w:spacing w:line="276" w:lineRule="auto"/>
        <w:ind w:firstLine="720"/>
        <w:jc w:val="both"/>
      </w:pPr>
      <w:r w:rsidRPr="00725496">
        <w:t>Le considerazioni che precedono aprono la strada all’analisi di un ulteriore nodo problematico</w:t>
      </w:r>
      <w:r w:rsidR="00577FE0" w:rsidRPr="00725496">
        <w:t xml:space="preserve"> </w:t>
      </w:r>
      <w:r w:rsidR="009705D8" w:rsidRPr="00725496">
        <w:t>che</w:t>
      </w:r>
      <w:r w:rsidR="00577FE0" w:rsidRPr="00725496">
        <w:t xml:space="preserve"> </w:t>
      </w:r>
      <w:r w:rsidR="00AC652B">
        <w:t>presuppone</w:t>
      </w:r>
      <w:r w:rsidR="00577FE0" w:rsidRPr="00725496">
        <w:t xml:space="preserve"> a</w:t>
      </w:r>
      <w:r w:rsidR="00105208" w:rsidRPr="00725496">
        <w:t xml:space="preserve">ncora una volta </w:t>
      </w:r>
      <w:r w:rsidR="00AC652B">
        <w:t>un’indagine</w:t>
      </w:r>
      <w:r w:rsidR="00105208" w:rsidRPr="00725496">
        <w:t xml:space="preserve"> sull’ambito oggettivo di applicazione della disposizione in esame: </w:t>
      </w:r>
      <w:r w:rsidR="00577FE0" w:rsidRPr="00725496">
        <w:t xml:space="preserve">in quale rapporto si pone </w:t>
      </w:r>
      <w:r w:rsidR="005E7351" w:rsidRPr="00725496">
        <w:t>con la c</w:t>
      </w:r>
      <w:r w:rsidR="00577FE0" w:rsidRPr="00725496">
        <w:t>onferenza di servizi?</w:t>
      </w:r>
    </w:p>
    <w:p w14:paraId="19B0BE5F" w14:textId="21C1049E" w:rsidR="001E73B5" w:rsidRPr="00725496" w:rsidRDefault="00032D8E" w:rsidP="00725496">
      <w:pPr>
        <w:spacing w:line="276" w:lineRule="auto"/>
        <w:ind w:firstLine="720"/>
        <w:jc w:val="both"/>
      </w:pPr>
      <w:r w:rsidRPr="00725496">
        <w:t>S</w:t>
      </w:r>
      <w:r w:rsidR="00577FE0" w:rsidRPr="00725496">
        <w:t>econdo una prima impostazione</w:t>
      </w:r>
      <w:r w:rsidR="00553016">
        <w:t xml:space="preserve"> </w:t>
      </w:r>
      <w:r w:rsidR="005E7351" w:rsidRPr="00725496">
        <w:t xml:space="preserve">l’istituto </w:t>
      </w:r>
      <w:r w:rsidR="00577FE0" w:rsidRPr="00725496">
        <w:t>riformerebbe</w:t>
      </w:r>
      <w:r w:rsidR="001E73B5" w:rsidRPr="00725496">
        <w:t xml:space="preserve"> </w:t>
      </w:r>
      <w:r w:rsidR="00C4258F" w:rsidRPr="00725496">
        <w:t xml:space="preserve">(in modo trasversale, siccome procedurale) </w:t>
      </w:r>
      <w:r w:rsidR="001E73B5" w:rsidRPr="00725496">
        <w:t>l’intera materia della formazione della volontà dell’amministrazione competente al rilascio di pareri o di atti di assenso comunque denominati, di talché tutte le occorrenze di siffatti pareri o atti di assenso, già contemplati da leggi speciali di settore, si assoggett</w:t>
      </w:r>
      <w:r w:rsidR="00C4258F" w:rsidRPr="00725496">
        <w:t>erebbero</w:t>
      </w:r>
      <w:r w:rsidR="001E73B5" w:rsidRPr="00725496">
        <w:t xml:space="preserve"> </w:t>
      </w:r>
      <w:r w:rsidR="005E7351" w:rsidRPr="00725496">
        <w:t>al</w:t>
      </w:r>
      <w:r w:rsidR="00577FE0" w:rsidRPr="00725496">
        <w:t xml:space="preserve"> nuovo regime procedurale</w:t>
      </w:r>
      <w:r w:rsidR="00577FE0" w:rsidRPr="00725496">
        <w:rPr>
          <w:rStyle w:val="Rimandonotaapidipagina"/>
        </w:rPr>
        <w:footnoteReference w:id="22"/>
      </w:r>
      <w:r w:rsidRPr="00725496">
        <w:t xml:space="preserve"> (attraverso il noto meccanismo dell’abrogazione implicita di cui all’art. </w:t>
      </w:r>
      <w:r w:rsidRPr="00725496">
        <w:lastRenderedPageBreak/>
        <w:t>15 preleggi, operante quando “</w:t>
      </w:r>
      <w:r w:rsidRPr="00725496">
        <w:rPr>
          <w:i/>
        </w:rPr>
        <w:t>la nuova legge regola l’intera materia già regolata dalla legge anteriore</w:t>
      </w:r>
      <w:r w:rsidRPr="00725496">
        <w:t>”)</w:t>
      </w:r>
      <w:r w:rsidR="00577FE0" w:rsidRPr="00725496">
        <w:t xml:space="preserve">. </w:t>
      </w:r>
      <w:r w:rsidR="00AC4BDF">
        <w:t>Residuerebbe</w:t>
      </w:r>
      <w:r w:rsidR="005E7351" w:rsidRPr="00725496">
        <w:t xml:space="preserve"> </w:t>
      </w:r>
      <w:r w:rsidR="008F0966">
        <w:t>nondimeno</w:t>
      </w:r>
      <w:r w:rsidR="005E7351" w:rsidRPr="00725496">
        <w:t xml:space="preserve"> </w:t>
      </w:r>
      <w:r w:rsidR="008F0966">
        <w:t>d</w:t>
      </w:r>
      <w:r w:rsidR="006B483B" w:rsidRPr="00725496">
        <w:t>a</w:t>
      </w:r>
      <w:r w:rsidRPr="00725496">
        <w:t xml:space="preserve"> verifica</w:t>
      </w:r>
      <w:r w:rsidR="008F0966">
        <w:t xml:space="preserve">re, merita aggiungere, </w:t>
      </w:r>
      <w:r w:rsidR="006B483B" w:rsidRPr="00725496">
        <w:t>l’operatività del</w:t>
      </w:r>
      <w:r w:rsidR="00577FE0" w:rsidRPr="00725496">
        <w:t xml:space="preserve"> principio “</w:t>
      </w:r>
      <w:r w:rsidR="00577FE0" w:rsidRPr="00725496">
        <w:rPr>
          <w:i/>
        </w:rPr>
        <w:t>lex posterior generalis non derogat priori speciali</w:t>
      </w:r>
      <w:r w:rsidR="00577FE0" w:rsidRPr="00725496">
        <w:t>”.</w:t>
      </w:r>
      <w:r w:rsidR="006B483B" w:rsidRPr="00725496">
        <w:t xml:space="preserve"> Secondo un’opposta lettura</w:t>
      </w:r>
      <w:r w:rsidRPr="00725496">
        <w:t xml:space="preserve"> </w:t>
      </w:r>
      <w:r w:rsidRPr="00725496">
        <w:rPr>
          <w:rFonts w:ascii="Times New Roman" w:eastAsia="Times New Roman" w:hAnsi="Times New Roman" w:cs="Times New Roman"/>
          <w:lang w:eastAsia="it-IT"/>
        </w:rPr>
        <w:t>l’art. 17-</w:t>
      </w:r>
      <w:r w:rsidRPr="00725496">
        <w:rPr>
          <w:rFonts w:ascii="Times New Roman" w:eastAsia="Times New Roman" w:hAnsi="Times New Roman" w:cs="Times New Roman"/>
          <w:i/>
          <w:lang w:eastAsia="it-IT"/>
        </w:rPr>
        <w:t>bis</w:t>
      </w:r>
      <w:r w:rsidRPr="00725496">
        <w:rPr>
          <w:rFonts w:ascii="Times New Roman" w:eastAsia="Times New Roman" w:hAnsi="Times New Roman" w:cs="Times New Roman"/>
          <w:lang w:eastAsia="it-IT"/>
        </w:rPr>
        <w:t xml:space="preserve"> avrebbe un ambito applicativo estremamente circoscritto, evincibile da un’interpretazione sistematica che tenga conto del contenuto vigente degli artt. 14, 16 e 20 l. n. 241/1990</w:t>
      </w:r>
      <w:r w:rsidR="00174DA0" w:rsidRPr="00725496">
        <w:rPr>
          <w:rStyle w:val="Rimandonotaapidipagina"/>
          <w:rFonts w:ascii="Times New Roman" w:eastAsia="Times New Roman" w:hAnsi="Times New Roman" w:cs="Times New Roman"/>
          <w:lang w:eastAsia="it-IT"/>
        </w:rPr>
        <w:footnoteReference w:id="23"/>
      </w:r>
      <w:r w:rsidRPr="00725496">
        <w:rPr>
          <w:rFonts w:ascii="Times New Roman" w:eastAsia="Times New Roman" w:hAnsi="Times New Roman" w:cs="Times New Roman"/>
          <w:lang w:eastAsia="it-IT"/>
        </w:rPr>
        <w:t>.</w:t>
      </w:r>
      <w:r w:rsidRPr="00725496">
        <w:t xml:space="preserve"> </w:t>
      </w:r>
    </w:p>
    <w:p w14:paraId="6E56F6D2" w14:textId="2FF49BC8" w:rsidR="00EF52B2" w:rsidRPr="00725496" w:rsidRDefault="00E05C27" w:rsidP="00725496">
      <w:pPr>
        <w:spacing w:line="276" w:lineRule="auto"/>
        <w:ind w:firstLine="720"/>
        <w:jc w:val="both"/>
        <w:rPr>
          <w:rFonts w:ascii="Times New Roman" w:eastAsia="Times New Roman" w:hAnsi="Times New Roman" w:cs="Times New Roman"/>
          <w:lang w:eastAsia="it-IT"/>
        </w:rPr>
      </w:pPr>
      <w:r w:rsidRPr="00725496">
        <w:t xml:space="preserve">La risposta </w:t>
      </w:r>
      <w:r w:rsidR="00EF52B2" w:rsidRPr="00725496">
        <w:t xml:space="preserve">allo specifico </w:t>
      </w:r>
      <w:r w:rsidR="00577FE0" w:rsidRPr="00725496">
        <w:t>quesito</w:t>
      </w:r>
      <w:r w:rsidR="00EF52B2" w:rsidRPr="00725496">
        <w:t xml:space="preserve"> posto</w:t>
      </w:r>
      <w:r w:rsidR="00577FE0" w:rsidRPr="00725496">
        <w:t xml:space="preserve"> </w:t>
      </w:r>
      <w:r w:rsidR="00C4258F" w:rsidRPr="00725496">
        <w:t>sembra ricavabile da una</w:t>
      </w:r>
      <w:r w:rsidRPr="00725496">
        <w:t xml:space="preserve"> considerazione letterale:</w:t>
      </w:r>
      <w:r w:rsidR="00C4258F" w:rsidRPr="00725496">
        <w:t xml:space="preserve"> </w:t>
      </w:r>
      <w:r w:rsidRPr="00725496">
        <w:t xml:space="preserve">per come attualmente formulato, </w:t>
      </w:r>
      <w:r w:rsidR="00FF685D" w:rsidRPr="00725496">
        <w:t xml:space="preserve">l’art. 14, </w:t>
      </w:r>
      <w:r w:rsidR="00EF52B2" w:rsidRPr="00725496">
        <w:t>comma</w:t>
      </w:r>
      <w:r w:rsidR="00AC652B">
        <w:t xml:space="preserve"> 2 in materia di c</w:t>
      </w:r>
      <w:r w:rsidRPr="00725496">
        <w:t>onferenza di servizi decisoria obbligatoria sarebbe destinato ad essere assorbito dal nuovo art. 17-</w:t>
      </w:r>
      <w:r w:rsidRPr="00725496">
        <w:rPr>
          <w:i/>
        </w:rPr>
        <w:t>bis</w:t>
      </w:r>
      <w:r w:rsidRPr="00725496">
        <w:t>.</w:t>
      </w:r>
      <w:r w:rsidR="00F84C31" w:rsidRPr="00725496">
        <w:t xml:space="preserve"> La norma prevede infatti l’attivazione obbligatoria della conferenza “</w:t>
      </w:r>
      <w:r w:rsidR="00F84C31" w:rsidRPr="00725496">
        <w:rPr>
          <w:i/>
        </w:rPr>
        <w:t>q</w:t>
      </w:r>
      <w:r w:rsidR="00F84C31" w:rsidRPr="00725496">
        <w:rPr>
          <w:rFonts w:ascii="Times New Roman" w:eastAsia="Times New Roman" w:hAnsi="Times New Roman" w:cs="Times New Roman"/>
          <w:i/>
          <w:lang w:eastAsia="it-IT"/>
        </w:rPr>
        <w:t>uando l’amministrazione procedente deve acquisire intese, concerti, nulla osta o assensi comunque denominati di altre amministrazioni pubbliche e non li ottenga, entro trenta giorni dalla ricezione, da parte dell'amministrazione competente, della relativa richiesta</w:t>
      </w:r>
      <w:r w:rsidR="00F84C31" w:rsidRPr="00725496">
        <w:rPr>
          <w:rFonts w:ascii="Times New Roman" w:eastAsia="Times New Roman" w:hAnsi="Times New Roman" w:cs="Times New Roman"/>
          <w:lang w:eastAsia="it-IT"/>
        </w:rPr>
        <w:t>”</w:t>
      </w:r>
      <w:r w:rsidR="004E38B0">
        <w:rPr>
          <w:rStyle w:val="Rimandonotaapidipagina"/>
          <w:rFonts w:ascii="Times New Roman" w:eastAsia="Times New Roman" w:hAnsi="Times New Roman" w:cs="Times New Roman"/>
          <w:lang w:eastAsia="it-IT"/>
        </w:rPr>
        <w:footnoteReference w:id="24"/>
      </w:r>
      <w:r w:rsidR="001B4854" w:rsidRPr="00725496">
        <w:rPr>
          <w:rFonts w:ascii="Times New Roman" w:eastAsia="Times New Roman" w:hAnsi="Times New Roman" w:cs="Times New Roman"/>
          <w:lang w:eastAsia="it-IT"/>
        </w:rPr>
        <w:t>. Senonché</w:t>
      </w:r>
      <w:r w:rsidR="00F84C31" w:rsidRPr="00725496">
        <w:rPr>
          <w:rFonts w:ascii="Times New Roman" w:eastAsia="Times New Roman" w:hAnsi="Times New Roman" w:cs="Times New Roman"/>
          <w:lang w:eastAsia="it-IT"/>
        </w:rPr>
        <w:t xml:space="preserve"> il decreto </w:t>
      </w:r>
      <w:r w:rsidR="00245A12" w:rsidRPr="00725496">
        <w:rPr>
          <w:rFonts w:ascii="Times New Roman" w:eastAsia="Times New Roman" w:hAnsi="Times New Roman" w:cs="Times New Roman"/>
          <w:lang w:eastAsia="it-IT"/>
        </w:rPr>
        <w:t xml:space="preserve">delegato </w:t>
      </w:r>
      <w:r w:rsidR="00AA0A1D" w:rsidRPr="00725496">
        <w:rPr>
          <w:rFonts w:ascii="Times New Roman" w:eastAsia="Times New Roman" w:hAnsi="Times New Roman" w:cs="Times New Roman"/>
          <w:lang w:eastAsia="it-IT"/>
        </w:rPr>
        <w:t xml:space="preserve">sottoposto al parere del Consiglio di Stato </w:t>
      </w:r>
      <w:r w:rsidR="00245A12" w:rsidRPr="00725496">
        <w:rPr>
          <w:rFonts w:ascii="Times New Roman" w:eastAsia="Times New Roman" w:hAnsi="Times New Roman" w:cs="Times New Roman"/>
          <w:lang w:eastAsia="it-IT"/>
        </w:rPr>
        <w:t xml:space="preserve">ha significativamente modificato la </w:t>
      </w:r>
      <w:r w:rsidR="00232F75" w:rsidRPr="00725496">
        <w:rPr>
          <w:rFonts w:ascii="Times New Roman" w:eastAsia="Times New Roman" w:hAnsi="Times New Roman" w:cs="Times New Roman"/>
          <w:lang w:eastAsia="it-IT"/>
        </w:rPr>
        <w:t xml:space="preserve">descritta formulazione, </w:t>
      </w:r>
      <w:r w:rsidR="00AC2F7F" w:rsidRPr="00725496">
        <w:rPr>
          <w:rFonts w:ascii="Times New Roman" w:eastAsia="Times New Roman" w:hAnsi="Times New Roman" w:cs="Times New Roman"/>
          <w:lang w:eastAsia="it-IT"/>
        </w:rPr>
        <w:t xml:space="preserve">imponendo l’indizione della </w:t>
      </w:r>
      <w:r w:rsidR="00876846" w:rsidRPr="00725496">
        <w:rPr>
          <w:rFonts w:ascii="Times New Roman" w:eastAsia="Times New Roman" w:hAnsi="Times New Roman" w:cs="Times New Roman"/>
          <w:lang w:eastAsia="it-IT"/>
        </w:rPr>
        <w:t xml:space="preserve">conferenza </w:t>
      </w:r>
      <w:r w:rsidR="000C323C" w:rsidRPr="00725496">
        <w:rPr>
          <w:rFonts w:ascii="Times New Roman" w:eastAsia="Times New Roman" w:hAnsi="Times New Roman" w:cs="Times New Roman"/>
          <w:lang w:eastAsia="it-IT"/>
        </w:rPr>
        <w:t xml:space="preserve">(solo) </w:t>
      </w:r>
      <w:r w:rsidR="00AC2F7F" w:rsidRPr="00725496">
        <w:rPr>
          <w:rFonts w:ascii="Times New Roman" w:eastAsia="Times New Roman" w:hAnsi="Times New Roman" w:cs="Times New Roman"/>
          <w:lang w:eastAsia="it-IT"/>
        </w:rPr>
        <w:t>“</w:t>
      </w:r>
      <w:r w:rsidR="00876846" w:rsidRPr="00725496">
        <w:rPr>
          <w:rFonts w:ascii="Times New Roman" w:eastAsia="Times New Roman" w:hAnsi="Times New Roman" w:cs="Times New Roman"/>
          <w:i/>
          <w:lang w:eastAsia="it-IT"/>
        </w:rPr>
        <w:t xml:space="preserve">quando </w:t>
      </w:r>
      <w:r w:rsidR="00AC2F7F" w:rsidRPr="00725496">
        <w:rPr>
          <w:rFonts w:ascii="Times New Roman" w:eastAsia="Times New Roman" w:hAnsi="Times New Roman" w:cs="Times New Roman"/>
          <w:i/>
          <w:lang w:eastAsia="it-IT"/>
        </w:rPr>
        <w:t xml:space="preserve">la conclusione positiva del procedimento è subordinata all’acquisizione di </w:t>
      </w:r>
      <w:r w:rsidR="00AC2F7F" w:rsidRPr="00725496">
        <w:rPr>
          <w:rFonts w:ascii="Times New Roman" w:eastAsia="Times New Roman" w:hAnsi="Times New Roman" w:cs="Times New Roman"/>
          <w:b/>
          <w:i/>
          <w:lang w:eastAsia="it-IT"/>
        </w:rPr>
        <w:t>più</w:t>
      </w:r>
      <w:r w:rsidR="00AC2F7F" w:rsidRPr="00725496">
        <w:rPr>
          <w:rFonts w:ascii="Times New Roman" w:eastAsia="Times New Roman" w:hAnsi="Times New Roman" w:cs="Times New Roman"/>
          <w:i/>
          <w:lang w:eastAsia="it-IT"/>
        </w:rPr>
        <w:t xml:space="preserve"> pareri</w:t>
      </w:r>
      <w:r w:rsidR="006A14ED" w:rsidRPr="006A14ED">
        <w:rPr>
          <w:rStyle w:val="Rimandonotaapidipagina"/>
          <w:rFonts w:ascii="Times New Roman" w:eastAsia="Times New Roman" w:hAnsi="Times New Roman" w:cs="Times New Roman"/>
          <w:lang w:eastAsia="it-IT"/>
        </w:rPr>
        <w:footnoteReference w:id="25"/>
      </w:r>
      <w:r w:rsidR="00AC2F7F" w:rsidRPr="00725496">
        <w:rPr>
          <w:rFonts w:ascii="Times New Roman" w:eastAsia="Times New Roman" w:hAnsi="Times New Roman" w:cs="Times New Roman"/>
          <w:i/>
          <w:lang w:eastAsia="it-IT"/>
        </w:rPr>
        <w:t xml:space="preserve">, </w:t>
      </w:r>
      <w:r w:rsidR="00AC2F7F" w:rsidRPr="00725496">
        <w:rPr>
          <w:rFonts w:ascii="Times New Roman" w:eastAsia="Times New Roman" w:hAnsi="Times New Roman" w:cs="Times New Roman"/>
          <w:i/>
          <w:lang w:eastAsia="it-IT"/>
        </w:rPr>
        <w:lastRenderedPageBreak/>
        <w:t xml:space="preserve">intese, </w:t>
      </w:r>
      <w:r w:rsidR="006F3579" w:rsidRPr="00725496">
        <w:rPr>
          <w:rFonts w:ascii="Times New Roman" w:eastAsia="Times New Roman" w:hAnsi="Times New Roman" w:cs="Times New Roman"/>
          <w:i/>
          <w:lang w:eastAsia="it-IT"/>
        </w:rPr>
        <w:t>concerti, nulla osta o altri atti di assenso, comunque denominati, resi da diverse amministrazioni, inclusi i gestori di beni o servizi pubblici</w:t>
      </w:r>
      <w:r w:rsidR="00876846" w:rsidRPr="00725496">
        <w:rPr>
          <w:rFonts w:ascii="Times New Roman" w:eastAsia="Times New Roman" w:hAnsi="Times New Roman" w:cs="Times New Roman"/>
          <w:lang w:eastAsia="it-IT"/>
        </w:rPr>
        <w:t>”</w:t>
      </w:r>
      <w:r w:rsidR="006F3579" w:rsidRPr="00725496">
        <w:rPr>
          <w:rStyle w:val="Rimandonotaapidipagina"/>
          <w:rFonts w:ascii="Times New Roman" w:eastAsia="Times New Roman" w:hAnsi="Times New Roman" w:cs="Times New Roman"/>
          <w:lang w:eastAsia="it-IT"/>
        </w:rPr>
        <w:footnoteReference w:id="26"/>
      </w:r>
      <w:r w:rsidR="00AC2F7F" w:rsidRPr="00725496">
        <w:rPr>
          <w:rFonts w:ascii="Times New Roman" w:eastAsia="Times New Roman" w:hAnsi="Times New Roman" w:cs="Times New Roman"/>
          <w:lang w:eastAsia="it-IT"/>
        </w:rPr>
        <w:t>.</w:t>
      </w:r>
      <w:r w:rsidR="000C323C" w:rsidRPr="00725496">
        <w:rPr>
          <w:rFonts w:ascii="Times New Roman" w:eastAsia="Times New Roman" w:hAnsi="Times New Roman" w:cs="Times New Roman"/>
          <w:lang w:eastAsia="it-IT"/>
        </w:rPr>
        <w:t xml:space="preserve"> </w:t>
      </w:r>
    </w:p>
    <w:p w14:paraId="1BCFC99E" w14:textId="27781CC5" w:rsidR="00721822" w:rsidRDefault="000C323C" w:rsidP="00725496">
      <w:pPr>
        <w:spacing w:line="276" w:lineRule="auto"/>
        <w:ind w:firstLine="720"/>
        <w:jc w:val="both"/>
        <w:rPr>
          <w:rFonts w:ascii="Times New Roman" w:eastAsia="Times New Roman" w:hAnsi="Times New Roman" w:cs="Times New Roman"/>
          <w:lang w:eastAsia="it-IT"/>
        </w:rPr>
      </w:pPr>
      <w:r w:rsidRPr="00725496">
        <w:rPr>
          <w:rFonts w:ascii="Times New Roman" w:eastAsia="Times New Roman" w:hAnsi="Times New Roman" w:cs="Times New Roman"/>
          <w:lang w:eastAsia="it-IT"/>
        </w:rPr>
        <w:t>Ne consegu</w:t>
      </w:r>
      <w:r w:rsidR="00AA0A1D" w:rsidRPr="00725496">
        <w:rPr>
          <w:rFonts w:ascii="Times New Roman" w:eastAsia="Times New Roman" w:hAnsi="Times New Roman" w:cs="Times New Roman"/>
          <w:lang w:eastAsia="it-IT"/>
        </w:rPr>
        <w:t>irebbe</w:t>
      </w:r>
      <w:r w:rsidRPr="00725496">
        <w:rPr>
          <w:rFonts w:ascii="Times New Roman" w:eastAsia="Times New Roman" w:hAnsi="Times New Roman" w:cs="Times New Roman"/>
          <w:lang w:eastAsia="it-IT"/>
        </w:rPr>
        <w:t xml:space="preserve"> </w:t>
      </w:r>
      <w:r w:rsidR="00876846" w:rsidRPr="00725496">
        <w:rPr>
          <w:rFonts w:ascii="Times New Roman" w:eastAsia="Times New Roman" w:hAnsi="Times New Roman" w:cs="Times New Roman"/>
          <w:lang w:eastAsia="it-IT"/>
        </w:rPr>
        <w:t xml:space="preserve">che, ove </w:t>
      </w:r>
      <w:r w:rsidR="0052052A" w:rsidRPr="00725496">
        <w:rPr>
          <w:rFonts w:ascii="Times New Roman" w:eastAsia="Times New Roman" w:hAnsi="Times New Roman" w:cs="Times New Roman"/>
          <w:lang w:eastAsia="it-IT"/>
        </w:rPr>
        <w:t>fosse</w:t>
      </w:r>
      <w:r w:rsidR="00876846" w:rsidRPr="00725496">
        <w:rPr>
          <w:rFonts w:ascii="Times New Roman" w:eastAsia="Times New Roman" w:hAnsi="Times New Roman" w:cs="Times New Roman"/>
          <w:lang w:eastAsia="it-IT"/>
        </w:rPr>
        <w:t xml:space="preserve"> necessario un solo atto di assenso</w:t>
      </w:r>
      <w:r w:rsidR="00707415" w:rsidRPr="00725496">
        <w:rPr>
          <w:rFonts w:ascii="Times New Roman" w:eastAsia="Times New Roman" w:hAnsi="Times New Roman" w:cs="Times New Roman"/>
          <w:lang w:eastAsia="it-IT"/>
        </w:rPr>
        <w:t xml:space="preserve"> sullo schema di provvedimento predisposto dall’amministrazione procedente</w:t>
      </w:r>
      <w:r w:rsidR="00ED0EF9" w:rsidRPr="00725496">
        <w:rPr>
          <w:rFonts w:ascii="Times New Roman" w:eastAsia="Times New Roman" w:hAnsi="Times New Roman" w:cs="Times New Roman"/>
          <w:lang w:eastAsia="it-IT"/>
        </w:rPr>
        <w:t>,</w:t>
      </w:r>
      <w:r w:rsidR="00876846" w:rsidRPr="00725496">
        <w:rPr>
          <w:rFonts w:ascii="Times New Roman" w:eastAsia="Times New Roman" w:hAnsi="Times New Roman" w:cs="Times New Roman"/>
          <w:lang w:eastAsia="it-IT"/>
        </w:rPr>
        <w:t xml:space="preserve"> si applic</w:t>
      </w:r>
      <w:r w:rsidR="00AA0A1D" w:rsidRPr="00725496">
        <w:rPr>
          <w:rFonts w:ascii="Times New Roman" w:eastAsia="Times New Roman" w:hAnsi="Times New Roman" w:cs="Times New Roman"/>
          <w:lang w:eastAsia="it-IT"/>
        </w:rPr>
        <w:t>herebbe</w:t>
      </w:r>
      <w:r w:rsidR="00876846" w:rsidRPr="00725496">
        <w:rPr>
          <w:rFonts w:ascii="Times New Roman" w:eastAsia="Times New Roman" w:hAnsi="Times New Roman" w:cs="Times New Roman"/>
          <w:lang w:eastAsia="it-IT"/>
        </w:rPr>
        <w:t xml:space="preserve"> </w:t>
      </w:r>
      <w:r w:rsidRPr="00725496">
        <w:rPr>
          <w:rFonts w:ascii="Times New Roman" w:eastAsia="Times New Roman" w:hAnsi="Times New Roman" w:cs="Times New Roman"/>
          <w:lang w:eastAsia="it-IT"/>
        </w:rPr>
        <w:t>la disciplina del</w:t>
      </w:r>
      <w:r w:rsidR="00876846" w:rsidRPr="00725496">
        <w:rPr>
          <w:rFonts w:ascii="Times New Roman" w:eastAsia="Times New Roman" w:hAnsi="Times New Roman" w:cs="Times New Roman"/>
          <w:lang w:eastAsia="it-IT"/>
        </w:rPr>
        <w:t>l’art</w:t>
      </w:r>
      <w:r w:rsidRPr="00725496">
        <w:rPr>
          <w:rFonts w:ascii="Times New Roman" w:eastAsia="Times New Roman" w:hAnsi="Times New Roman" w:cs="Times New Roman"/>
          <w:lang w:eastAsia="it-IT"/>
        </w:rPr>
        <w:t>.</w:t>
      </w:r>
      <w:r w:rsidR="00876846" w:rsidRPr="00725496">
        <w:rPr>
          <w:rFonts w:ascii="Times New Roman" w:eastAsia="Times New Roman" w:hAnsi="Times New Roman" w:cs="Times New Roman"/>
          <w:lang w:eastAsia="it-IT"/>
        </w:rPr>
        <w:t xml:space="preserve"> 17-</w:t>
      </w:r>
      <w:r w:rsidR="00876846" w:rsidRPr="00725496">
        <w:rPr>
          <w:rFonts w:ascii="Times New Roman" w:eastAsia="Times New Roman" w:hAnsi="Times New Roman" w:cs="Times New Roman"/>
          <w:i/>
          <w:lang w:eastAsia="it-IT"/>
        </w:rPr>
        <w:t>bis</w:t>
      </w:r>
      <w:r w:rsidR="00876846" w:rsidRPr="00725496">
        <w:rPr>
          <w:rFonts w:ascii="Times New Roman" w:eastAsia="Times New Roman" w:hAnsi="Times New Roman" w:cs="Times New Roman"/>
          <w:lang w:eastAsia="it-IT"/>
        </w:rPr>
        <w:t>.</w:t>
      </w:r>
      <w:r w:rsidR="00E96148" w:rsidRPr="00725496">
        <w:rPr>
          <w:rFonts w:ascii="Times New Roman" w:eastAsia="Times New Roman" w:hAnsi="Times New Roman" w:cs="Times New Roman"/>
          <w:lang w:eastAsia="it-IT"/>
        </w:rPr>
        <w:t xml:space="preserve"> Tale lettura</w:t>
      </w:r>
      <w:r w:rsidR="001B4854" w:rsidRPr="00725496">
        <w:rPr>
          <w:rFonts w:ascii="Times New Roman" w:eastAsia="Times New Roman" w:hAnsi="Times New Roman" w:cs="Times New Roman"/>
          <w:lang w:eastAsia="it-IT"/>
        </w:rPr>
        <w:t>,</w:t>
      </w:r>
      <w:r w:rsidR="00E96148" w:rsidRPr="00725496">
        <w:rPr>
          <w:rFonts w:ascii="Times New Roman" w:eastAsia="Times New Roman" w:hAnsi="Times New Roman" w:cs="Times New Roman"/>
          <w:lang w:eastAsia="it-IT"/>
        </w:rPr>
        <w:t xml:space="preserve"> confermata dalla relazione illustrativa</w:t>
      </w:r>
      <w:r w:rsidR="0019691B" w:rsidRPr="00725496">
        <w:rPr>
          <w:rFonts w:ascii="Times New Roman" w:eastAsia="Times New Roman" w:hAnsi="Times New Roman" w:cs="Times New Roman"/>
          <w:lang w:eastAsia="it-IT"/>
        </w:rPr>
        <w:t xml:space="preserve"> dello schema di decreto delegato</w:t>
      </w:r>
      <w:r w:rsidR="0052052A" w:rsidRPr="00725496">
        <w:rPr>
          <w:rStyle w:val="Rimandonotaapidipagina"/>
          <w:rFonts w:ascii="Times New Roman" w:eastAsia="Times New Roman" w:hAnsi="Times New Roman" w:cs="Times New Roman"/>
          <w:lang w:eastAsia="it-IT"/>
        </w:rPr>
        <w:footnoteReference w:id="27"/>
      </w:r>
      <w:r w:rsidR="0019691B" w:rsidRPr="00725496">
        <w:rPr>
          <w:rFonts w:ascii="Times New Roman" w:eastAsia="Times New Roman" w:hAnsi="Times New Roman" w:cs="Times New Roman"/>
          <w:lang w:eastAsia="it-IT"/>
        </w:rPr>
        <w:t>, consentirebbe</w:t>
      </w:r>
      <w:r w:rsidR="001B4854" w:rsidRPr="00725496">
        <w:rPr>
          <w:rFonts w:ascii="Times New Roman" w:eastAsia="Times New Roman" w:hAnsi="Times New Roman" w:cs="Times New Roman"/>
          <w:lang w:eastAsia="it-IT"/>
        </w:rPr>
        <w:t xml:space="preserve"> </w:t>
      </w:r>
      <w:r w:rsidR="0019691B" w:rsidRPr="00725496">
        <w:rPr>
          <w:rFonts w:ascii="Times New Roman" w:eastAsia="Times New Roman" w:hAnsi="Times New Roman" w:cs="Times New Roman"/>
          <w:lang w:eastAsia="it-IT"/>
        </w:rPr>
        <w:t>di raccordare i due istituti</w:t>
      </w:r>
      <w:r w:rsidR="0052052A" w:rsidRPr="00725496">
        <w:rPr>
          <w:rFonts w:ascii="Times New Roman" w:eastAsia="Times New Roman" w:hAnsi="Times New Roman" w:cs="Times New Roman"/>
          <w:lang w:eastAsia="it-IT"/>
        </w:rPr>
        <w:t xml:space="preserve">, garantendone la sopravvivenza, </w:t>
      </w:r>
      <w:r w:rsidR="00EF52B2" w:rsidRPr="00725496">
        <w:rPr>
          <w:rFonts w:ascii="Times New Roman" w:eastAsia="Times New Roman" w:hAnsi="Times New Roman" w:cs="Times New Roman"/>
          <w:lang w:eastAsia="it-IT"/>
        </w:rPr>
        <w:t>in</w:t>
      </w:r>
      <w:r w:rsidR="0073061C" w:rsidRPr="00725496">
        <w:rPr>
          <w:rFonts w:ascii="Times New Roman" w:eastAsia="Times New Roman" w:hAnsi="Times New Roman" w:cs="Times New Roman"/>
          <w:lang w:eastAsia="it-IT"/>
        </w:rPr>
        <w:t xml:space="preserve"> coerenza</w:t>
      </w:r>
      <w:r w:rsidR="001B4854" w:rsidRPr="00725496">
        <w:rPr>
          <w:rFonts w:ascii="Times New Roman" w:eastAsia="Times New Roman" w:hAnsi="Times New Roman" w:cs="Times New Roman"/>
          <w:lang w:eastAsia="it-IT"/>
        </w:rPr>
        <w:t xml:space="preserve"> con la “linearità” che dovrebbe caratterizzare i procedimenti in cui opera l’art. 17-</w:t>
      </w:r>
      <w:r w:rsidR="001B4854" w:rsidRPr="00725496">
        <w:rPr>
          <w:rFonts w:ascii="Times New Roman" w:eastAsia="Times New Roman" w:hAnsi="Times New Roman" w:cs="Times New Roman"/>
          <w:i/>
          <w:lang w:eastAsia="it-IT"/>
        </w:rPr>
        <w:t>bis</w:t>
      </w:r>
      <w:r w:rsidR="001B4854" w:rsidRPr="00725496">
        <w:rPr>
          <w:rFonts w:ascii="Times New Roman" w:eastAsia="Times New Roman" w:hAnsi="Times New Roman" w:cs="Times New Roman"/>
          <w:lang w:eastAsia="it-IT"/>
        </w:rPr>
        <w:t xml:space="preserve"> rispetto alla complessità di quelli in cui</w:t>
      </w:r>
      <w:r w:rsidR="00ED0EF9" w:rsidRPr="00725496">
        <w:rPr>
          <w:rFonts w:ascii="Times New Roman" w:eastAsia="Times New Roman" w:hAnsi="Times New Roman" w:cs="Times New Roman"/>
          <w:lang w:eastAsia="it-IT"/>
        </w:rPr>
        <w:t xml:space="preserve"> opera la conferenza di servizi</w:t>
      </w:r>
      <w:r w:rsidR="00ED0EF9" w:rsidRPr="00725496">
        <w:rPr>
          <w:rStyle w:val="Rimandonotaapidipagina"/>
          <w:rFonts w:ascii="Times New Roman" w:eastAsia="Times New Roman" w:hAnsi="Times New Roman" w:cs="Times New Roman"/>
          <w:lang w:eastAsia="it-IT"/>
        </w:rPr>
        <w:footnoteReference w:id="28"/>
      </w:r>
      <w:r w:rsidR="00721822" w:rsidRPr="00725496">
        <w:rPr>
          <w:rFonts w:ascii="Times New Roman" w:eastAsia="Times New Roman" w:hAnsi="Times New Roman" w:cs="Times New Roman"/>
          <w:lang w:eastAsia="it-IT"/>
        </w:rPr>
        <w:t xml:space="preserve"> (</w:t>
      </w:r>
      <w:r w:rsidR="00822A3D">
        <w:rPr>
          <w:rFonts w:ascii="Times New Roman" w:eastAsia="Times New Roman" w:hAnsi="Times New Roman" w:cs="Times New Roman"/>
          <w:lang w:eastAsia="it-IT"/>
        </w:rPr>
        <w:t>in ossequio al</w:t>
      </w:r>
      <w:r w:rsidR="00721822" w:rsidRPr="00725496">
        <w:rPr>
          <w:rFonts w:ascii="Times New Roman" w:eastAsia="Times New Roman" w:hAnsi="Times New Roman" w:cs="Times New Roman"/>
          <w:lang w:eastAsia="it-IT"/>
        </w:rPr>
        <w:t xml:space="preserve">l’obiettivo </w:t>
      </w:r>
      <w:r w:rsidR="00822A3D">
        <w:rPr>
          <w:rFonts w:ascii="Times New Roman" w:eastAsia="Times New Roman" w:hAnsi="Times New Roman" w:cs="Times New Roman"/>
          <w:lang w:eastAsia="it-IT"/>
        </w:rPr>
        <w:t>di</w:t>
      </w:r>
      <w:r w:rsidR="00721822" w:rsidRPr="00725496">
        <w:rPr>
          <w:rFonts w:ascii="Times New Roman" w:eastAsia="Times New Roman" w:hAnsi="Times New Roman" w:cs="Times New Roman"/>
          <w:lang w:eastAsia="it-IT"/>
        </w:rPr>
        <w:t xml:space="preserve"> riduzione dei casi in cui la conferenza è obbligatoria).</w:t>
      </w:r>
    </w:p>
    <w:p w14:paraId="464E081A" w14:textId="77777777" w:rsidR="00E5597D" w:rsidRDefault="00E5597D" w:rsidP="00725496">
      <w:pPr>
        <w:spacing w:line="276" w:lineRule="auto"/>
        <w:ind w:firstLine="720"/>
        <w:jc w:val="both"/>
        <w:rPr>
          <w:rFonts w:ascii="Times New Roman" w:eastAsia="Times New Roman" w:hAnsi="Times New Roman" w:cs="Times New Roman"/>
          <w:lang w:eastAsia="it-IT"/>
        </w:rPr>
      </w:pPr>
    </w:p>
    <w:p w14:paraId="763873BE" w14:textId="691051B3" w:rsidR="00305067" w:rsidRPr="00725496" w:rsidRDefault="0056706F" w:rsidP="00725496">
      <w:pPr>
        <w:spacing w:line="276" w:lineRule="auto"/>
        <w:ind w:firstLine="720"/>
        <w:jc w:val="both"/>
        <w:rPr>
          <w:b/>
        </w:rPr>
      </w:pPr>
      <w:r>
        <w:rPr>
          <w:b/>
        </w:rPr>
        <w:t xml:space="preserve">4. </w:t>
      </w:r>
      <w:r w:rsidR="003A6060">
        <w:rPr>
          <w:b/>
        </w:rPr>
        <w:t xml:space="preserve">Il </w:t>
      </w:r>
      <w:r w:rsidR="007A3F6C">
        <w:rPr>
          <w:b/>
        </w:rPr>
        <w:t>nodo del rispetto delle</w:t>
      </w:r>
      <w:r w:rsidR="003A6060">
        <w:rPr>
          <w:b/>
        </w:rPr>
        <w:t xml:space="preserve"> autonomie regionali</w:t>
      </w:r>
    </w:p>
    <w:p w14:paraId="6EBD3FA0" w14:textId="0404F799" w:rsidR="006D18A7" w:rsidRPr="00725496" w:rsidRDefault="0091710B" w:rsidP="00725496">
      <w:pPr>
        <w:spacing w:line="276" w:lineRule="auto"/>
        <w:ind w:firstLine="720"/>
        <w:jc w:val="both"/>
      </w:pPr>
      <w:r>
        <w:t>L</w:t>
      </w:r>
      <w:r w:rsidR="005E13F0">
        <w:t>’art. 17-</w:t>
      </w:r>
      <w:r w:rsidR="005E13F0" w:rsidRPr="005E13F0">
        <w:rPr>
          <w:i/>
        </w:rPr>
        <w:t>bis</w:t>
      </w:r>
      <w:r w:rsidR="005E13F0">
        <w:t xml:space="preserve"> rischia poi di entrare in frizione con il quadro costituzionale sotto il profilo del</w:t>
      </w:r>
      <w:r w:rsidR="006D18A7" w:rsidRPr="00725496">
        <w:t xml:space="preserve"> ripar</w:t>
      </w:r>
      <w:r w:rsidR="005E13F0">
        <w:t>to di competenze</w:t>
      </w:r>
      <w:r w:rsidR="000653B9">
        <w:t xml:space="preserve"> tra i vari livelli di governo</w:t>
      </w:r>
      <w:r w:rsidR="007360ED">
        <w:rPr>
          <w:rStyle w:val="Rimandonotaapidipagina"/>
        </w:rPr>
        <w:footnoteReference w:id="29"/>
      </w:r>
      <w:r w:rsidR="005E13F0">
        <w:t>. L</w:t>
      </w:r>
      <w:r w:rsidR="000C323C" w:rsidRPr="00725496">
        <w:t xml:space="preserve">a </w:t>
      </w:r>
      <w:r w:rsidR="006D18A7" w:rsidRPr="00725496">
        <w:t xml:space="preserve"> </w:t>
      </w:r>
      <w:r w:rsidR="000C323C" w:rsidRPr="00725496">
        <w:t xml:space="preserve">riforma prevede infatti genericamente l’applicazione </w:t>
      </w:r>
      <w:r w:rsidR="005E13F0">
        <w:t>dell’istituto</w:t>
      </w:r>
      <w:r w:rsidR="006D18A7" w:rsidRPr="00725496">
        <w:t xml:space="preserve"> anche agli atti di assenso delle </w:t>
      </w:r>
      <w:r w:rsidR="00CE70BC" w:rsidRPr="00725496">
        <w:t>“pubbliche amministrazioni”</w:t>
      </w:r>
      <w:r w:rsidR="005E13F0">
        <w:t xml:space="preserve"> (e </w:t>
      </w:r>
      <w:r w:rsidR="00CE70BC" w:rsidRPr="00725496">
        <w:t xml:space="preserve">non più solo </w:t>
      </w:r>
      <w:r w:rsidR="005E13F0">
        <w:t>a quelli delle</w:t>
      </w:r>
      <w:r w:rsidR="00CE70BC" w:rsidRPr="00725496">
        <w:t xml:space="preserve"> “amministrazioni statali”</w:t>
      </w:r>
      <w:r w:rsidR="005E13F0">
        <w:t xml:space="preserve">, </w:t>
      </w:r>
      <w:r w:rsidR="005E13F0">
        <w:lastRenderedPageBreak/>
        <w:t>come previsto nei primi lavori parlamentari</w:t>
      </w:r>
      <w:r w:rsidR="007360ED">
        <w:rPr>
          <w:rStyle w:val="Rimandonotaapidipagina"/>
        </w:rPr>
        <w:footnoteReference w:id="30"/>
      </w:r>
      <w:r w:rsidR="005E13F0">
        <w:t>)</w:t>
      </w:r>
      <w:r w:rsidR="000653B9">
        <w:t>, peraltro riferendosi espressamente all’adozione di provvedimenti normativi oltre che amministrativi</w:t>
      </w:r>
      <w:r w:rsidR="005E13F0">
        <w:t>.</w:t>
      </w:r>
    </w:p>
    <w:p w14:paraId="686AF767" w14:textId="52FBAB01" w:rsidR="000653B9" w:rsidRDefault="000653B9" w:rsidP="00725496">
      <w:pPr>
        <w:spacing w:line="276" w:lineRule="auto"/>
        <w:ind w:firstLine="720"/>
        <w:jc w:val="both"/>
      </w:pPr>
      <w:r>
        <w:t xml:space="preserve">Sul punto la Corte costituzionale ha dichiarato l’incompatibilità </w:t>
      </w:r>
      <w:r w:rsidRPr="000653B9">
        <w:t xml:space="preserve">col principio di buon andamento </w:t>
      </w:r>
      <w:r>
        <w:t>ex art. 97 Cost. di disposizioni statali che prevedevano la formazione del silenzio assenso regionale in materia di pianificazione urbanistica, realizzando “</w:t>
      </w:r>
      <w:r w:rsidRPr="000653B9">
        <w:rPr>
          <w:i/>
        </w:rPr>
        <w:t>un’alterazione del quadro dei rapporti tra competenze attribuite alle regioni ed agli enti locali nel vigente sistema di programmazione urbanistica, nelle sue articolazioni territoriali e di settore</w:t>
      </w:r>
      <w:r>
        <w:t xml:space="preserve">” (C. cost., </w:t>
      </w:r>
      <w:r w:rsidR="00714DB0">
        <w:t>19 ottobre 1992, n. 393</w:t>
      </w:r>
      <w:r w:rsidR="00E5597D">
        <w:rPr>
          <w:rStyle w:val="Rimandonotaapidipagina"/>
        </w:rPr>
        <w:footnoteReference w:id="31"/>
      </w:r>
      <w:r w:rsidR="00C6404F">
        <w:t xml:space="preserve"> e</w:t>
      </w:r>
      <w:r w:rsidR="000E531A">
        <w:t xml:space="preserve"> già C. Cost. 10 marzo 1988, n. 302</w:t>
      </w:r>
      <w:r w:rsidR="007F510B">
        <w:rPr>
          <w:rStyle w:val="Rimandonotaapidipagina"/>
        </w:rPr>
        <w:footnoteReference w:id="32"/>
      </w:r>
      <w:r w:rsidR="00714DB0">
        <w:t>).</w:t>
      </w:r>
      <w:r w:rsidR="0065454B">
        <w:t xml:space="preserve"> In altre occasioni </w:t>
      </w:r>
      <w:r w:rsidR="00F508F0">
        <w:t xml:space="preserve">la Consulta </w:t>
      </w:r>
      <w:r w:rsidR="0065454B">
        <w:t xml:space="preserve">ha più in generale affermato che l'istituto del silenzio </w:t>
      </w:r>
      <w:r w:rsidR="0065454B" w:rsidRPr="0065454B">
        <w:t xml:space="preserve">assenso può ritenersi ammissibile in riferimento ad attività amministrative nelle quali sia pressoché assente il tasso di discrezionalità, </w:t>
      </w:r>
      <w:r w:rsidR="0065454B">
        <w:t>“</w:t>
      </w:r>
      <w:r w:rsidR="0065454B" w:rsidRPr="00E5597D">
        <w:rPr>
          <w:i/>
        </w:rPr>
        <w:t>mentre la trasposizione di tale modello nei procedimenti ad elevata discrezionalità, primi tra tutti quelli della pianificazione territoriale, finisce per incidere sull'essenza stessa della competenza regionale</w:t>
      </w:r>
      <w:r w:rsidR="0065454B">
        <w:t>”</w:t>
      </w:r>
      <w:r w:rsidR="0065454B" w:rsidRPr="0065454B">
        <w:t xml:space="preserve"> (</w:t>
      </w:r>
      <w:r w:rsidR="0065454B">
        <w:t xml:space="preserve">C. cost., </w:t>
      </w:r>
      <w:r w:rsidR="00F508F0">
        <w:t>27 luglio 1995, n. 408</w:t>
      </w:r>
      <w:r w:rsidR="00F508F0">
        <w:rPr>
          <w:rStyle w:val="Rimandonotaapidipagina"/>
        </w:rPr>
        <w:footnoteReference w:id="33"/>
      </w:r>
      <w:r w:rsidR="0065454B" w:rsidRPr="0065454B">
        <w:t>).</w:t>
      </w:r>
      <w:r w:rsidR="0065454B">
        <w:t xml:space="preserve"> </w:t>
      </w:r>
    </w:p>
    <w:p w14:paraId="1BDC3802" w14:textId="5421F166" w:rsidR="00C6404F" w:rsidRDefault="00C6404F" w:rsidP="00725496">
      <w:pPr>
        <w:spacing w:line="276" w:lineRule="auto"/>
        <w:ind w:firstLine="720"/>
        <w:jc w:val="both"/>
      </w:pPr>
      <w:r>
        <w:t xml:space="preserve">Alla luce di tali orientamenti l’istituto potrebbe risultare incompatibile con il quadro costituzionale ove si applicasse a procedimenti ad elevata discrezionalità e incidesse sui rapporti tra amministrazioni diverse le cui attribuzioni siano costituzionalmente garantite. </w:t>
      </w:r>
    </w:p>
    <w:p w14:paraId="119CC8E1" w14:textId="77777777" w:rsidR="0056706F" w:rsidRDefault="0056706F" w:rsidP="00725496">
      <w:pPr>
        <w:spacing w:line="276" w:lineRule="auto"/>
        <w:ind w:firstLine="720"/>
        <w:jc w:val="both"/>
      </w:pPr>
    </w:p>
    <w:p w14:paraId="46D30D38" w14:textId="29AF0100" w:rsidR="0056706F" w:rsidRPr="0056706F" w:rsidRDefault="0056706F" w:rsidP="00725496">
      <w:pPr>
        <w:spacing w:line="276" w:lineRule="auto"/>
        <w:ind w:firstLine="720"/>
        <w:jc w:val="both"/>
        <w:rPr>
          <w:b/>
        </w:rPr>
      </w:pPr>
      <w:r w:rsidRPr="0056706F">
        <w:rPr>
          <w:b/>
        </w:rPr>
        <w:t>5. Considerazioni conclusive.</w:t>
      </w:r>
    </w:p>
    <w:p w14:paraId="39E165CF" w14:textId="0D843B27" w:rsidR="00FD7F41" w:rsidRDefault="00E904CA" w:rsidP="00725496">
      <w:pPr>
        <w:spacing w:line="276" w:lineRule="auto"/>
        <w:ind w:firstLine="720"/>
        <w:jc w:val="both"/>
      </w:pPr>
      <w:r>
        <w:t xml:space="preserve">Le considerazioni che precedono </w:t>
      </w:r>
      <w:r w:rsidR="00DD7E30">
        <w:t>evidenziano</w:t>
      </w:r>
      <w:r>
        <w:t xml:space="preserve"> </w:t>
      </w:r>
      <w:r w:rsidR="00FD7F41">
        <w:t xml:space="preserve">che </w:t>
      </w:r>
      <w:r w:rsidR="00FD7F41" w:rsidRPr="00725496">
        <w:t>l’</w:t>
      </w:r>
      <w:r w:rsidR="00FD7F41">
        <w:t>individuazione dell’</w:t>
      </w:r>
      <w:r w:rsidR="00FD7F41" w:rsidRPr="00725496">
        <w:t xml:space="preserve">esatto ambito di applicazione del nuovo istituto </w:t>
      </w:r>
      <w:r w:rsidR="0046352E">
        <w:t>è</w:t>
      </w:r>
      <w:r w:rsidR="00FD7F41">
        <w:t xml:space="preserve"> questione </w:t>
      </w:r>
      <w:r w:rsidR="0046352E">
        <w:t>di</w:t>
      </w:r>
      <w:r w:rsidR="00FD7F41">
        <w:t xml:space="preserve"> massima rilevanza.</w:t>
      </w:r>
    </w:p>
    <w:p w14:paraId="55C194F2" w14:textId="24DDF4BA" w:rsidR="00F60AC0" w:rsidRPr="00725496" w:rsidRDefault="00FD7F41" w:rsidP="00725496">
      <w:pPr>
        <w:spacing w:line="276" w:lineRule="auto"/>
        <w:ind w:firstLine="720"/>
        <w:jc w:val="both"/>
      </w:pPr>
      <w:r>
        <w:t xml:space="preserve"> </w:t>
      </w:r>
      <w:r w:rsidR="002C7432" w:rsidRPr="00725496">
        <w:t xml:space="preserve"> </w:t>
      </w:r>
      <w:r w:rsidR="00651DBB">
        <w:t xml:space="preserve">L’urgenza </w:t>
      </w:r>
      <w:r w:rsidR="0002118D">
        <w:t xml:space="preserve">di un intervento chiarificatore del legislatore sembra </w:t>
      </w:r>
      <w:r w:rsidR="00DD7E30">
        <w:t xml:space="preserve">peraltro </w:t>
      </w:r>
      <w:r w:rsidR="0002118D">
        <w:t xml:space="preserve">accresciuta </w:t>
      </w:r>
      <w:r w:rsidR="003B4D4B" w:rsidRPr="00725496">
        <w:t>alla luce della valenza, prioritaria e assorbente</w:t>
      </w:r>
      <w:r w:rsidR="0002118D">
        <w:t>,</w:t>
      </w:r>
      <w:r w:rsidR="003B4D4B" w:rsidRPr="00725496">
        <w:t xml:space="preserve"> che l’Adunanza Plenaria</w:t>
      </w:r>
      <w:r w:rsidR="0002118D">
        <w:t xml:space="preserve"> </w:t>
      </w:r>
      <w:r w:rsidR="00CD0C1E" w:rsidRPr="00CD0C1E">
        <w:t>27 aprile 2015, n. 5</w:t>
      </w:r>
      <w:r w:rsidR="00CD0C1E">
        <w:t xml:space="preserve"> </w:t>
      </w:r>
      <w:r w:rsidR="00F60AC0" w:rsidRPr="00725496">
        <w:t xml:space="preserve">ha </w:t>
      </w:r>
      <w:r w:rsidR="003B4D4B" w:rsidRPr="00725496">
        <w:t xml:space="preserve">riconosciuto </w:t>
      </w:r>
      <w:r w:rsidR="00F60AC0" w:rsidRPr="00725496">
        <w:t xml:space="preserve">al </w:t>
      </w:r>
      <w:r w:rsidR="00F60AC0" w:rsidRPr="00DD7E30">
        <w:t>vizio di incompetenza</w:t>
      </w:r>
      <w:r w:rsidR="00B52279">
        <w:rPr>
          <w:rStyle w:val="Rimandonotaapidipagina"/>
        </w:rPr>
        <w:footnoteReference w:id="34"/>
      </w:r>
      <w:r w:rsidR="00F60AC0" w:rsidRPr="00725496">
        <w:t xml:space="preserve">. </w:t>
      </w:r>
    </w:p>
    <w:p w14:paraId="5557E443" w14:textId="720247D4" w:rsidR="006D18A7" w:rsidRPr="00725496" w:rsidRDefault="00CD0C1E" w:rsidP="00725496">
      <w:pPr>
        <w:spacing w:line="276" w:lineRule="auto"/>
        <w:ind w:firstLine="720"/>
        <w:jc w:val="both"/>
        <w:rPr>
          <w:b/>
        </w:rPr>
      </w:pPr>
      <w:r w:rsidRPr="00725496">
        <w:lastRenderedPageBreak/>
        <w:t xml:space="preserve">L’affermazione </w:t>
      </w:r>
      <w:r w:rsidR="00F60AC0" w:rsidRPr="00725496">
        <w:t xml:space="preserve">rileva particolarmente ai nostri fini in quanto la </w:t>
      </w:r>
      <w:r w:rsidR="002C7432" w:rsidRPr="00725496">
        <w:t xml:space="preserve">sentenza qualifica espressamente come vizio </w:t>
      </w:r>
      <w:r w:rsidR="00F60AC0" w:rsidRPr="00725496">
        <w:t>di incompetenza la “</w:t>
      </w:r>
      <w:r w:rsidR="00F60AC0" w:rsidRPr="00BC1296">
        <w:rPr>
          <w:i/>
        </w:rPr>
        <w:t>mancata acquisizione di un parere obbligatorio per legge</w:t>
      </w:r>
      <w:r w:rsidR="002C7432" w:rsidRPr="00725496">
        <w:t>”</w:t>
      </w:r>
      <w:r w:rsidR="00874200">
        <w:t xml:space="preserve"> </w:t>
      </w:r>
      <w:r w:rsidR="00874200" w:rsidRPr="00874200">
        <w:t>e la violazione della “</w:t>
      </w:r>
      <w:r w:rsidR="00874200" w:rsidRPr="00874200">
        <w:rPr>
          <w:i/>
        </w:rPr>
        <w:t>complessa disciplina sostanziale sancita dagli artt. 16 e 17 l. n. 241 del 1990 per fronteggiare tale evenienza</w:t>
      </w:r>
      <w:r w:rsidR="00874200" w:rsidRPr="00874200">
        <w:t>”.</w:t>
      </w:r>
      <w:r w:rsidR="00874200">
        <w:t xml:space="preserve"> </w:t>
      </w:r>
      <w:r w:rsidR="00EC3951">
        <w:t xml:space="preserve">Il vizio sarebbe </w:t>
      </w:r>
      <w:r w:rsidR="00B13D96">
        <w:t xml:space="preserve">pertanto </w:t>
      </w:r>
      <w:r w:rsidR="00EC3951">
        <w:t>riscontrabile anche nel caso di utilizzo improprio dell’istituto in esame</w:t>
      </w:r>
      <w:r w:rsidR="00B13D96">
        <w:rPr>
          <w:rStyle w:val="Rimandonotaapidipagina"/>
        </w:rPr>
        <w:footnoteReference w:id="35"/>
      </w:r>
      <w:r w:rsidR="00EC3951">
        <w:t>.</w:t>
      </w:r>
    </w:p>
    <w:p w14:paraId="5C446F58" w14:textId="40A792F9" w:rsidR="00735256" w:rsidRPr="00725496" w:rsidRDefault="000B4143" w:rsidP="00725496">
      <w:pPr>
        <w:spacing w:line="276" w:lineRule="auto"/>
        <w:ind w:firstLine="720"/>
        <w:jc w:val="both"/>
      </w:pPr>
      <w:r>
        <w:t>Sperando</w:t>
      </w:r>
      <w:r w:rsidR="003B4D4B" w:rsidRPr="00725496">
        <w:t>, pur in queste poche battute, di aver evidenziato i principali problemi interpr</w:t>
      </w:r>
      <w:r>
        <w:t>etativi posti dal nuovo art. 17-</w:t>
      </w:r>
      <w:r w:rsidRPr="00DD7E30">
        <w:rPr>
          <w:i/>
        </w:rPr>
        <w:t>bis</w:t>
      </w:r>
      <w:r>
        <w:t xml:space="preserve">, </w:t>
      </w:r>
      <w:r w:rsidR="003B4D4B" w:rsidRPr="00725496">
        <w:t xml:space="preserve">mi sembra importante sottolineare, </w:t>
      </w:r>
      <w:r w:rsidR="00DD7E30">
        <w:t xml:space="preserve">in conclusione, che </w:t>
      </w:r>
      <w:r w:rsidR="003B4D4B" w:rsidRPr="00725496">
        <w:t xml:space="preserve">le considerazioni svolte nei primi paragrafi dei pareri che il </w:t>
      </w:r>
      <w:r w:rsidR="00DD7E30">
        <w:t>Consiglio di Stato</w:t>
      </w:r>
      <w:r w:rsidR="003B4D4B" w:rsidRPr="00725496">
        <w:t xml:space="preserve"> ha cominciato a rendere sui decreti attuativi della l</w:t>
      </w:r>
      <w:r w:rsidR="00DD7E30">
        <w:t xml:space="preserve">egge Madia impongono che </w:t>
      </w:r>
      <w:r w:rsidR="00087284" w:rsidRPr="00725496">
        <w:t>la disposizione in esame</w:t>
      </w:r>
      <w:r w:rsidR="003B4D4B" w:rsidRPr="00725496">
        <w:t>, in una visione unitaria della riforma,</w:t>
      </w:r>
      <w:r w:rsidR="00087284" w:rsidRPr="00725496">
        <w:t xml:space="preserve"> </w:t>
      </w:r>
      <w:r w:rsidR="003B4D4B" w:rsidRPr="00725496">
        <w:t xml:space="preserve">sia </w:t>
      </w:r>
      <w:r w:rsidR="00087284" w:rsidRPr="00725496">
        <w:t xml:space="preserve">interpretata in un senso che scongiuri il rischio che l’anelato effetto di evitare disfunzioni dell’apparato pubblico e conseguire in tempi certi una decisione amministrativa si traduca in una diversa, ma non meno pericolosa, forma di “cattiva amministrazione”: quella che si realizzerebbe se fosse obliterato indiscriminatamente l’apporto procedimentale </w:t>
      </w:r>
      <w:r w:rsidR="00022F59" w:rsidRPr="00725496">
        <w:t>delle amministrazioni diverse da quella procedente.</w:t>
      </w:r>
    </w:p>
    <w:p w14:paraId="487064C0" w14:textId="77777777" w:rsidR="005C634A" w:rsidRPr="00725496" w:rsidRDefault="005C634A" w:rsidP="00725496">
      <w:pPr>
        <w:spacing w:line="276" w:lineRule="auto"/>
        <w:ind w:firstLine="720"/>
      </w:pPr>
    </w:p>
    <w:p w14:paraId="1AD5F52A" w14:textId="77777777" w:rsidR="005C634A" w:rsidRPr="00725496" w:rsidRDefault="005C634A" w:rsidP="00725496">
      <w:pPr>
        <w:spacing w:line="276" w:lineRule="auto"/>
        <w:ind w:firstLine="720"/>
      </w:pPr>
    </w:p>
    <w:p w14:paraId="1D2B16D0" w14:textId="77777777" w:rsidR="00234FB9" w:rsidRPr="00725496" w:rsidRDefault="00234FB9" w:rsidP="00725496">
      <w:pPr>
        <w:spacing w:line="276" w:lineRule="auto"/>
        <w:ind w:firstLine="720"/>
      </w:pPr>
    </w:p>
    <w:p w14:paraId="1916F924" w14:textId="77777777" w:rsidR="002C410A" w:rsidRPr="00725496" w:rsidRDefault="002C410A" w:rsidP="00725496">
      <w:pPr>
        <w:spacing w:line="276" w:lineRule="auto"/>
        <w:ind w:firstLine="720"/>
      </w:pPr>
    </w:p>
    <w:p w14:paraId="216089CF" w14:textId="77777777" w:rsidR="00C95126" w:rsidRPr="00725496" w:rsidRDefault="00C95126" w:rsidP="00725496">
      <w:pPr>
        <w:spacing w:line="276" w:lineRule="auto"/>
        <w:ind w:firstLine="720"/>
      </w:pPr>
    </w:p>
    <w:sectPr w:rsidR="00C95126" w:rsidRPr="00725496" w:rsidSect="0033018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43D5" w14:textId="77777777" w:rsidR="008C6ADD" w:rsidRDefault="008C6ADD" w:rsidP="003B0B1B">
      <w:r>
        <w:separator/>
      </w:r>
    </w:p>
  </w:endnote>
  <w:endnote w:type="continuationSeparator" w:id="0">
    <w:p w14:paraId="6AA3A16D" w14:textId="77777777" w:rsidR="008C6ADD" w:rsidRDefault="008C6ADD" w:rsidP="003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9DA1" w14:textId="77777777" w:rsidR="008C6ADD" w:rsidRDefault="008C6ADD" w:rsidP="003B0B1B">
      <w:r>
        <w:separator/>
      </w:r>
    </w:p>
  </w:footnote>
  <w:footnote w:type="continuationSeparator" w:id="0">
    <w:p w14:paraId="09704753" w14:textId="77777777" w:rsidR="008C6ADD" w:rsidRDefault="008C6ADD" w:rsidP="003B0B1B">
      <w:r>
        <w:continuationSeparator/>
      </w:r>
    </w:p>
  </w:footnote>
  <w:footnote w:id="1">
    <w:p w14:paraId="532D57DE" w14:textId="77777777"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In tale caso, il citato art. 17-</w:t>
      </w:r>
      <w:r w:rsidRPr="000920D5">
        <w:rPr>
          <w:rFonts w:ascii="Times New Roman" w:hAnsi="Times New Roman" w:cs="Times New Roman"/>
          <w:i/>
          <w:sz w:val="22"/>
          <w:szCs w:val="22"/>
        </w:rPr>
        <w:t>bis</w:t>
      </w:r>
      <w:r w:rsidRPr="000920D5">
        <w:rPr>
          <w:rFonts w:ascii="Times New Roman" w:hAnsi="Times New Roman" w:cs="Times New Roman"/>
          <w:sz w:val="22"/>
          <w:szCs w:val="22"/>
        </w:rPr>
        <w:t xml:space="preserve"> precisa che l’assenso, il concerto o il nulla osta è reso nei successivi trenta giorni dalla ricezione degli elementi istruttori o dello schema di provvedimento.</w:t>
      </w:r>
    </w:p>
  </w:footnote>
  <w:footnote w:id="2">
    <w:p w14:paraId="1563A3AC" w14:textId="77777777"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Cfr. http://www.funzionepubblica.gov.it/la-riforma-della-pa.</w:t>
      </w:r>
    </w:p>
  </w:footnote>
  <w:footnote w:id="3">
    <w:p w14:paraId="3E434B8F" w14:textId="4FF33D5C"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sz w:val="22"/>
          <w:szCs w:val="22"/>
        </w:rPr>
        <w:footnoteRef/>
      </w:r>
      <w:r w:rsidRPr="000920D5">
        <w:rPr>
          <w:sz w:val="22"/>
          <w:szCs w:val="22"/>
        </w:rPr>
        <w:t xml:space="preserve"> L. </w:t>
      </w:r>
      <w:r w:rsidRPr="000920D5">
        <w:rPr>
          <w:smallCaps/>
          <w:sz w:val="22"/>
          <w:szCs w:val="22"/>
        </w:rPr>
        <w:t>Vandelli</w:t>
      </w:r>
      <w:r w:rsidRPr="000920D5">
        <w:rPr>
          <w:sz w:val="22"/>
          <w:szCs w:val="22"/>
        </w:rPr>
        <w:t xml:space="preserve">, </w:t>
      </w:r>
      <w:r w:rsidRPr="000920D5">
        <w:rPr>
          <w:i/>
          <w:sz w:val="22"/>
          <w:szCs w:val="22"/>
        </w:rPr>
        <w:t>La riorganizzazione delle amministrazioni pubbliche</w:t>
      </w:r>
      <w:r w:rsidRPr="000920D5">
        <w:rPr>
          <w:sz w:val="22"/>
          <w:szCs w:val="22"/>
        </w:rPr>
        <w:t xml:space="preserve">, in </w:t>
      </w:r>
      <w:r w:rsidRPr="000920D5">
        <w:rPr>
          <w:rFonts w:ascii="Times New Roman" w:hAnsi="Times New Roman" w:cs="Times New Roman"/>
          <w:i/>
          <w:sz w:val="22"/>
          <w:szCs w:val="22"/>
        </w:rPr>
        <w:t>Treccani. Libro dell’anno del diritto 2016</w:t>
      </w:r>
      <w:r w:rsidRPr="000920D5">
        <w:rPr>
          <w:rFonts w:ascii="Times New Roman" w:hAnsi="Times New Roman" w:cs="Times New Roman"/>
          <w:sz w:val="22"/>
          <w:szCs w:val="22"/>
        </w:rPr>
        <w:t>, Roma, 2016, 185 ss.</w:t>
      </w:r>
    </w:p>
    <w:p w14:paraId="75CDEF5A" w14:textId="330E14DE" w:rsidR="00623C5B" w:rsidRPr="000920D5" w:rsidRDefault="00623C5B" w:rsidP="000920D5">
      <w:pPr>
        <w:pStyle w:val="Testonotaapidipagina"/>
        <w:jc w:val="both"/>
        <w:rPr>
          <w:sz w:val="22"/>
          <w:szCs w:val="22"/>
        </w:rPr>
      </w:pPr>
    </w:p>
  </w:footnote>
  <w:footnote w:id="4">
    <w:p w14:paraId="19E3C1C6" w14:textId="669102BE"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F</w:t>
      </w:r>
      <w:r w:rsidRPr="000920D5">
        <w:rPr>
          <w:rFonts w:ascii="Times New Roman" w:hAnsi="Times New Roman" w:cs="Times New Roman"/>
          <w:smallCaps/>
          <w:sz w:val="22"/>
          <w:szCs w:val="22"/>
        </w:rPr>
        <w:t>. de Leonardis</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Il silenzio assenso in materia ambientale: considerazioni critiche sull’art. 17bis introdotto dalla cd. riforma Madia</w:t>
      </w:r>
      <w:r w:rsidRPr="000920D5">
        <w:rPr>
          <w:rFonts w:ascii="Times New Roman" w:hAnsi="Times New Roman" w:cs="Times New Roman"/>
          <w:sz w:val="22"/>
          <w:szCs w:val="22"/>
        </w:rPr>
        <w:t xml:space="preserve">, in federalismi.it, 20, 2015. Affrontano lo specifico profilo anche S. </w:t>
      </w:r>
      <w:r w:rsidRPr="000920D5">
        <w:rPr>
          <w:rFonts w:ascii="Times New Roman" w:hAnsi="Times New Roman" w:cs="Times New Roman"/>
          <w:smallCaps/>
          <w:sz w:val="22"/>
          <w:szCs w:val="22"/>
        </w:rPr>
        <w:t>Amorosino</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Valutazione Ambientale Strategica dei piani territoriali ed urbanistici e il silenzio assenso di cui al nuovo art. 17 bis L. n. 241/1990</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Urb. app</w:t>
      </w:r>
      <w:r w:rsidRPr="000920D5">
        <w:rPr>
          <w:rFonts w:ascii="Times New Roman" w:hAnsi="Times New Roman" w:cs="Times New Roman"/>
          <w:sz w:val="22"/>
          <w:szCs w:val="22"/>
        </w:rPr>
        <w:t xml:space="preserve">., 12, 2015, 1245 ss.; G. </w:t>
      </w:r>
      <w:r w:rsidRPr="000920D5">
        <w:rPr>
          <w:rFonts w:ascii="Times New Roman" w:hAnsi="Times New Roman" w:cs="Times New Roman"/>
          <w:smallCaps/>
          <w:sz w:val="22"/>
          <w:szCs w:val="22"/>
        </w:rPr>
        <w:t>Corso</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riorganizzazione della P.A. nella legge Madia:</w:t>
      </w:r>
      <w:r w:rsidRPr="000920D5">
        <w:rPr>
          <w:rFonts w:ascii="Times New Roman" w:hAnsi="Times New Roman" w:cs="Times New Roman"/>
          <w:sz w:val="22"/>
          <w:szCs w:val="22"/>
        </w:rPr>
        <w:t xml:space="preserve"> a survay, in federalismi.it, 20, 2015; F. </w:t>
      </w:r>
      <w:r w:rsidRPr="000920D5">
        <w:rPr>
          <w:rFonts w:ascii="Times New Roman" w:hAnsi="Times New Roman" w:cs="Times New Roman"/>
          <w:smallCaps/>
          <w:sz w:val="22"/>
          <w:szCs w:val="22"/>
        </w:rPr>
        <w:t>Scalia</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Il silenzio assenso nelle c.d. materie sensibili alla luce della riforma Madia</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Urb. app</w:t>
      </w:r>
      <w:r w:rsidRPr="000920D5">
        <w:rPr>
          <w:rFonts w:ascii="Times New Roman" w:hAnsi="Times New Roman" w:cs="Times New Roman"/>
          <w:sz w:val="22"/>
          <w:szCs w:val="22"/>
        </w:rPr>
        <w:t xml:space="preserve">., 1, 2016, 11 ss.; E. </w:t>
      </w:r>
      <w:r w:rsidRPr="000920D5">
        <w:rPr>
          <w:rFonts w:ascii="Times New Roman" w:hAnsi="Times New Roman" w:cs="Times New Roman"/>
          <w:smallCaps/>
          <w:sz w:val="22"/>
          <w:szCs w:val="22"/>
        </w:rPr>
        <w:t>Scotti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 tra amministrazioni</w:t>
      </w:r>
      <w:r w:rsidRPr="000920D5">
        <w:rPr>
          <w:rFonts w:ascii="Times New Roman" w:hAnsi="Times New Roman" w:cs="Times New Roman"/>
          <w:sz w:val="22"/>
          <w:szCs w:val="22"/>
        </w:rPr>
        <w:t xml:space="preserve">, in A. </w:t>
      </w:r>
      <w:r w:rsidRPr="000920D5">
        <w:rPr>
          <w:rFonts w:ascii="Times New Roman" w:hAnsi="Times New Roman" w:cs="Times New Roman"/>
          <w:smallCaps/>
          <w:sz w:val="22"/>
          <w:szCs w:val="22"/>
        </w:rPr>
        <w:t>Romano</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L’azione amministrativa</w:t>
      </w:r>
      <w:r w:rsidRPr="000920D5">
        <w:rPr>
          <w:rFonts w:ascii="Times New Roman" w:hAnsi="Times New Roman" w:cs="Times New Roman"/>
          <w:sz w:val="22"/>
          <w:szCs w:val="22"/>
        </w:rPr>
        <w:t>, Torino, 2016, 566 ss..</w:t>
      </w:r>
    </w:p>
  </w:footnote>
  <w:footnote w:id="5">
    <w:p w14:paraId="518D9103" w14:textId="01A77226"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F. </w:t>
      </w:r>
      <w:r w:rsidRPr="000920D5">
        <w:rPr>
          <w:rFonts w:ascii="Times New Roman" w:hAnsi="Times New Roman" w:cs="Times New Roman"/>
          <w:smallCaps/>
          <w:sz w:val="22"/>
          <w:szCs w:val="22"/>
        </w:rPr>
        <w:t>de Leonardis</w:t>
      </w:r>
      <w:r w:rsidRPr="000920D5">
        <w:rPr>
          <w:rFonts w:ascii="Times New Roman" w:hAnsi="Times New Roman" w:cs="Times New Roman"/>
          <w:sz w:val="22"/>
          <w:szCs w:val="22"/>
        </w:rPr>
        <w:t>, cit., p. 5.</w:t>
      </w:r>
    </w:p>
  </w:footnote>
  <w:footnote w:id="6">
    <w:p w14:paraId="3F00EFE4" w14:textId="39BC460F"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Cfr. C. cost. n. 26/1996, che ammette il silenzio assenso solo in riferimento ad attività amministrative a basso tasso di discrezionalità, affermando l’operatività del principio fondamentale della necessaria pronuncia esplicita dell’amministrazione preposta a vincolo ambientale ricavandolo espressamente [“</w:t>
      </w:r>
      <w:r w:rsidRPr="000920D5">
        <w:rPr>
          <w:rFonts w:ascii="Times New Roman" w:hAnsi="Times New Roman" w:cs="Times New Roman"/>
          <w:i/>
          <w:sz w:val="22"/>
          <w:szCs w:val="22"/>
        </w:rPr>
        <w:t>tanto si evince da</w:t>
      </w:r>
      <w:r w:rsidRPr="000920D5">
        <w:rPr>
          <w:rFonts w:ascii="Times New Roman" w:hAnsi="Times New Roman" w:cs="Times New Roman"/>
          <w:sz w:val="22"/>
          <w:szCs w:val="22"/>
        </w:rPr>
        <w:t xml:space="preserve">”]la normativa allora vigente. </w:t>
      </w:r>
    </w:p>
  </w:footnote>
  <w:footnote w:id="7">
    <w:p w14:paraId="21FFC277" w14:textId="227D2BAC"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 cost. n. 307/1992, che dichiara l’illegittimità della legge regionale che consentiva lo stoccaggio provvisorio senza autorizzazione. La normativa è ritenuta contraria ai principi posti dalla normativa statale, che invece configura come reato lo stoccaggio abusivo e con la normativa CEE richiedente un’autorizzazione per lo smaltimento di rifiuti tossici.  Analogo riferimento vale per C. cost. n. 62/2008, su una legge della Provincia autonoma di Bolzano che consentiva la messa in esercizio di un impianto di smaltimento o recupero di rifiuti prima che la sua regolarità fosse valutata con autorizzazione espressa, ritenuta in contrasto con “</w:t>
      </w:r>
      <w:r w:rsidRPr="000920D5">
        <w:rPr>
          <w:rFonts w:ascii="Times New Roman" w:hAnsi="Times New Roman" w:cs="Times New Roman"/>
          <w:i/>
          <w:sz w:val="22"/>
          <w:szCs w:val="22"/>
        </w:rPr>
        <w:t>l'opposto principio espresso dall'art. 208 del d. lgs. n. 152 del 2006, il quale, pure nel testo modificato dall'art. 2, comma 29-ter, del d. lgs. n. 4 del 2008, disciplina l'autorizzazione unica per i nuovi impianti senza prevedere alcuna forma di autorizzazione tacita, neppure provvisoria, e ciò in ottemperanza alle prescrizioni delle pertinenti direttive comunitarie, configurando queste ultime un sistema di autorizzazioni previe (artt. da 9 a 11 della direttiva del Parlamento europeo e del Consiglio 2006/12/CE del 5 aprile 2006, relativa ai rifiuti e, prima, artt. da 9 a 11 della direttiva del Consiglio 75/442/CEE del 15 luglio 1975, relativa ai rifiuti; art. 3 della direttiva 91/689/CEE del Consiglio relativa ai rifiuti pericolosi; Corte di giustizia, sentenza 14 giugno 2001, in causa C-230/00, Commissione c. Belgio)</w:t>
      </w:r>
      <w:r w:rsidRPr="000920D5">
        <w:rPr>
          <w:rFonts w:ascii="Times New Roman" w:hAnsi="Times New Roman" w:cs="Times New Roman"/>
          <w:sz w:val="22"/>
          <w:szCs w:val="22"/>
        </w:rPr>
        <w:t>”.</w:t>
      </w:r>
    </w:p>
  </w:footnote>
  <w:footnote w:id="8">
    <w:p w14:paraId="6BD41164" w14:textId="325A8D4F"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 cost. n. 209/2014, che si limita a dichiarare l’illegittimità costituzionale di una legge regionale che prevedeva la provvisoria autorizzazione allo scarico decorsi sessanta giorni dalla domanda per ciò che la previsione del silenzio assenso dell’amministrazione alla scadenza di un termine più breve rispetto a quello per provvedere assegnato dalla normativa statale è illegittimo, oltre che per  il divieto dell’art. 20, comma 4, l. n. 241/1990.</w:t>
      </w:r>
    </w:p>
  </w:footnote>
  <w:footnote w:id="9">
    <w:p w14:paraId="60A99FCC" w14:textId="7BBC9633"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Profili che, in riferimento all’art. 17-</w:t>
      </w:r>
      <w:r w:rsidRPr="000920D5">
        <w:rPr>
          <w:rFonts w:ascii="Times New Roman" w:hAnsi="Times New Roman" w:cs="Times New Roman"/>
          <w:i/>
          <w:sz w:val="22"/>
          <w:szCs w:val="22"/>
        </w:rPr>
        <w:t>bis</w:t>
      </w:r>
      <w:r w:rsidRPr="000920D5">
        <w:rPr>
          <w:rFonts w:ascii="Times New Roman" w:hAnsi="Times New Roman" w:cs="Times New Roman"/>
          <w:sz w:val="22"/>
          <w:szCs w:val="22"/>
        </w:rPr>
        <w:t xml:space="preserve">, dunque, non si porrebbero se non nei limiti di cui meglio si dirà </w:t>
      </w:r>
      <w:r w:rsidRPr="000920D5">
        <w:rPr>
          <w:rFonts w:ascii="Times New Roman" w:hAnsi="Times New Roman" w:cs="Times New Roman"/>
          <w:i/>
          <w:sz w:val="22"/>
          <w:szCs w:val="22"/>
        </w:rPr>
        <w:t>infra.</w:t>
      </w:r>
    </w:p>
  </w:footnote>
  <w:footnote w:id="10">
    <w:p w14:paraId="41AC1214" w14:textId="426A7BB5"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 cost. n. 203/2006 su cui E. </w:t>
      </w:r>
      <w:r w:rsidRPr="000920D5">
        <w:rPr>
          <w:rFonts w:ascii="Times New Roman" w:hAnsi="Times New Roman" w:cs="Times New Roman"/>
          <w:smallCaps/>
          <w:sz w:val="22"/>
          <w:szCs w:val="22"/>
        </w:rPr>
        <w:t>Scotti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w:t>
      </w:r>
      <w:r w:rsidRPr="000920D5">
        <w:rPr>
          <w:rFonts w:ascii="Times New Roman" w:hAnsi="Times New Roman" w:cs="Times New Roman"/>
          <w:sz w:val="22"/>
          <w:szCs w:val="22"/>
        </w:rPr>
        <w:t xml:space="preserve">, in A. </w:t>
      </w:r>
      <w:r w:rsidRPr="000920D5">
        <w:rPr>
          <w:rFonts w:ascii="Times New Roman" w:hAnsi="Times New Roman" w:cs="Times New Roman"/>
          <w:smallCaps/>
          <w:sz w:val="22"/>
          <w:szCs w:val="22"/>
        </w:rPr>
        <w:t>Romano</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L’azione amministrativa</w:t>
      </w:r>
      <w:r w:rsidRPr="000920D5">
        <w:rPr>
          <w:rFonts w:ascii="Times New Roman" w:hAnsi="Times New Roman" w:cs="Times New Roman"/>
          <w:sz w:val="22"/>
          <w:szCs w:val="22"/>
        </w:rPr>
        <w:t>, cit., 662.</w:t>
      </w:r>
    </w:p>
  </w:footnote>
  <w:footnote w:id="11">
    <w:p w14:paraId="5277E3F3" w14:textId="7BE3E69D"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Non sembra costituire una eccezione di carattere generale quella risultante dal 56° Considerando della stessa direttiva servizi, in virtù del quale “</w:t>
      </w:r>
      <w:r w:rsidRPr="000920D5">
        <w:rPr>
          <w:rFonts w:ascii="Times New Roman" w:hAnsi="Times New Roman" w:cs="Times New Roman"/>
          <w:i/>
          <w:sz w:val="22"/>
          <w:szCs w:val="22"/>
        </w:rPr>
        <w:t xml:space="preserve">la sanità pubblica, la tutela dei consumatori, la salute degli animali e la protezione dell'ambiente urbano costituiscono motivi imperativi di interesse generale. Tali motivi imperativi </w:t>
      </w:r>
      <w:r w:rsidRPr="000920D5">
        <w:rPr>
          <w:rFonts w:ascii="Times New Roman" w:hAnsi="Times New Roman" w:cs="Times New Roman"/>
          <w:i/>
          <w:sz w:val="22"/>
          <w:szCs w:val="22"/>
          <w:u w:val="single"/>
        </w:rPr>
        <w:t>possono</w:t>
      </w:r>
      <w:r w:rsidRPr="000920D5">
        <w:rPr>
          <w:rFonts w:ascii="Times New Roman" w:hAnsi="Times New Roman" w:cs="Times New Roman"/>
          <w:i/>
          <w:sz w:val="22"/>
          <w:szCs w:val="22"/>
        </w:rPr>
        <w:t xml:space="preserve"> giustificare l'applicazione di regimi di autorizzazione e altre restrizioni</w:t>
      </w:r>
      <w:r w:rsidRPr="000920D5">
        <w:rPr>
          <w:rFonts w:ascii="Times New Roman" w:hAnsi="Times New Roman" w:cs="Times New Roman"/>
          <w:sz w:val="22"/>
          <w:szCs w:val="22"/>
        </w:rPr>
        <w:t>” nel rispetto, oltre che del principio di non discriminazione in base alla nazionalità, dei “</w:t>
      </w:r>
      <w:r w:rsidRPr="000920D5">
        <w:rPr>
          <w:rFonts w:ascii="Times New Roman" w:hAnsi="Times New Roman" w:cs="Times New Roman"/>
          <w:i/>
          <w:sz w:val="22"/>
          <w:szCs w:val="22"/>
        </w:rPr>
        <w:t>principi di necessità e proporzionalità</w:t>
      </w:r>
      <w:r w:rsidRPr="000920D5">
        <w:rPr>
          <w:rFonts w:ascii="Times New Roman" w:hAnsi="Times New Roman" w:cs="Times New Roman"/>
          <w:sz w:val="22"/>
          <w:szCs w:val="22"/>
        </w:rPr>
        <w:t>”. L’enunciazione, conforme alle pronunce della Corte di Giustizia, deve essere letta in combinato con il 43° Considerando, secondo il quale è necessario stabilire principi di semplificazione amministrativa che prevedano “</w:t>
      </w:r>
      <w:r w:rsidRPr="000920D5">
        <w:rPr>
          <w:rFonts w:ascii="Times New Roman" w:hAnsi="Times New Roman" w:cs="Times New Roman"/>
          <w:i/>
          <w:sz w:val="22"/>
          <w:szCs w:val="22"/>
        </w:rPr>
        <w:t>la limitazione dell’obbligo di autorizzazione preliminare ai casi in cui essa è indispensabile e l’introduzione del principio della tacita autorizzazione da parte delle autorità competenti allo scadere di un determinato termine</w:t>
      </w:r>
      <w:r w:rsidRPr="000920D5">
        <w:rPr>
          <w:rFonts w:ascii="Times New Roman" w:hAnsi="Times New Roman" w:cs="Times New Roman"/>
          <w:sz w:val="22"/>
          <w:szCs w:val="22"/>
        </w:rPr>
        <w:t>”. Alla luce del dettato sovranazionale il legislatore interno, dunque, può, in presenza di motivi imperativi di interesse generale, prevedere l’applicazione di regimi autorizzatori o altre restrizioni, ma può parimenti prevedere, anche per queste ipotesi, l’autorizzazione tacita (silenzio assenso) e, comunque, limitare l’utilizzo dell’obbligo del provvedimento autorizzatorio, fatti salvi i casi in cui la normativa, europea o nazionale, preveda, per una materia “sensibile”, l’emanazione di un provvedimento espresso.</w:t>
      </w:r>
    </w:p>
  </w:footnote>
  <w:footnote w:id="12">
    <w:p w14:paraId="013E60B6" w14:textId="386368E0"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CGCE 28 febbraio 1991, C-360/87, Commissione c. Repubblica Italiana, in </w:t>
      </w:r>
      <w:r w:rsidRPr="000920D5">
        <w:rPr>
          <w:rFonts w:ascii="Times New Roman" w:hAnsi="Times New Roman" w:cs="Times New Roman"/>
          <w:i/>
          <w:sz w:val="22"/>
          <w:szCs w:val="22"/>
        </w:rPr>
        <w:t>Riv. it. dir. pubbl. com</w:t>
      </w:r>
      <w:r w:rsidRPr="000920D5">
        <w:rPr>
          <w:rFonts w:ascii="Times New Roman" w:hAnsi="Times New Roman" w:cs="Times New Roman"/>
          <w:sz w:val="22"/>
          <w:szCs w:val="22"/>
        </w:rPr>
        <w:t>., 1992, 241.</w:t>
      </w:r>
    </w:p>
  </w:footnote>
  <w:footnote w:id="13">
    <w:p w14:paraId="5110D89E" w14:textId="5362CECF"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CGCE 14 luglio 2001, C-230/00, Commissione c. Regno del Belgio.</w:t>
      </w:r>
    </w:p>
  </w:footnote>
  <w:footnote w:id="14">
    <w:p w14:paraId="0E530F94" w14:textId="11D0285E"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CGCE 10 giugno 2004, C-87/02 sulla normativa italiana che prevedeva che, decorsi sessanta giorni senza che l’autorità competente si fosse pronunciata sul progetto ricevuto, esso si intendeva escluso dalla procedura di VIA. Peraltro, nel caso di specie, il descritto meccanismo non aveva operato in quanto l’Autorità procedente si era espressa nei termini, sia pur con un provvedimento motivato “</w:t>
      </w:r>
      <w:r w:rsidRPr="000920D5">
        <w:rPr>
          <w:rFonts w:ascii="Times New Roman" w:hAnsi="Times New Roman" w:cs="Times New Roman"/>
          <w:i/>
          <w:sz w:val="22"/>
          <w:szCs w:val="22"/>
        </w:rPr>
        <w:t>per relationem</w:t>
      </w:r>
      <w:r w:rsidRPr="000920D5">
        <w:rPr>
          <w:rFonts w:ascii="Times New Roman" w:hAnsi="Times New Roman" w:cs="Times New Roman"/>
          <w:sz w:val="22"/>
          <w:szCs w:val="22"/>
        </w:rPr>
        <w:t>” e ritenuto inidoneo a soddisfare le riferite esigenze di controllo.</w:t>
      </w:r>
    </w:p>
  </w:footnote>
  <w:footnote w:id="15">
    <w:p w14:paraId="30D5D148" w14:textId="2662CBF0"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w:t>
      </w:r>
      <w:r w:rsidRPr="000920D5">
        <w:rPr>
          <w:rFonts w:ascii="Times New Roman" w:hAnsi="Times New Roman" w:cs="Times New Roman"/>
          <w:sz w:val="22"/>
          <w:szCs w:val="22"/>
        </w:rPr>
        <w:t xml:space="preserve">G. </w:t>
      </w:r>
      <w:r w:rsidRPr="000920D5">
        <w:rPr>
          <w:rFonts w:ascii="Times New Roman" w:hAnsi="Times New Roman" w:cs="Times New Roman"/>
          <w:smallCaps/>
          <w:sz w:val="22"/>
          <w:szCs w:val="22"/>
        </w:rPr>
        <w:t>Mari</w:t>
      </w:r>
      <w:r w:rsidRPr="000920D5">
        <w:rPr>
          <w:rFonts w:ascii="Times New Roman" w:hAnsi="Times New Roman" w:cs="Times New Roman"/>
          <w:sz w:val="22"/>
          <w:szCs w:val="22"/>
        </w:rPr>
        <w:t xml:space="preserve">, </w:t>
      </w:r>
      <w:r w:rsidRPr="000920D5">
        <w:rPr>
          <w:rFonts w:ascii="Times New Roman" w:eastAsia="Calibri" w:hAnsi="Times New Roman" w:cs="Times New Roman"/>
          <w:i/>
          <w:sz w:val="22"/>
          <w:szCs w:val="22"/>
        </w:rPr>
        <w:t>Autorizzazioni preliminari e titoli abilitativi edilizi: il ruolo dello sportello unico dell’edilizia, la conferenza di servizi e il silenzio assenso di cui agli artt. 17-bis e 20 l. n. 241/1990</w:t>
      </w:r>
      <w:r w:rsidRPr="000920D5">
        <w:rPr>
          <w:rFonts w:ascii="Times New Roman" w:eastAsia="Calibri" w:hAnsi="Times New Roman" w:cs="Times New Roman"/>
          <w:sz w:val="22"/>
          <w:szCs w:val="22"/>
        </w:rPr>
        <w:t>,</w:t>
      </w:r>
      <w:r w:rsidRPr="000920D5">
        <w:rPr>
          <w:rFonts w:ascii="Times New Roman" w:eastAsia="Calibri" w:hAnsi="Times New Roman" w:cs="Times New Roman"/>
          <w:b/>
          <w:smallCaps/>
          <w:sz w:val="22"/>
          <w:szCs w:val="22"/>
        </w:rPr>
        <w:t xml:space="preserve"> </w:t>
      </w:r>
      <w:r w:rsidRPr="000920D5">
        <w:rPr>
          <w:rFonts w:ascii="Times New Roman" w:eastAsia="Calibri" w:hAnsi="Times New Roman" w:cs="Times New Roman"/>
          <w:color w:val="222222"/>
          <w:sz w:val="22"/>
          <w:szCs w:val="22"/>
          <w:shd w:val="clear" w:color="auto" w:fill="FFFFFF"/>
        </w:rPr>
        <w:t xml:space="preserve">in AA.VV., </w:t>
      </w:r>
      <w:r w:rsidRPr="000920D5">
        <w:rPr>
          <w:rFonts w:ascii="Times New Roman" w:eastAsia="Calibri" w:hAnsi="Times New Roman" w:cs="Times New Roman"/>
          <w:i/>
          <w:color w:val="222222"/>
          <w:sz w:val="22"/>
          <w:szCs w:val="22"/>
          <w:shd w:val="clear" w:color="auto" w:fill="FFFFFF"/>
        </w:rPr>
        <w:t>Semplificazione e trasparenza amministrativa: esperienze italiane ed europee a confronto</w:t>
      </w:r>
      <w:r w:rsidRPr="000920D5">
        <w:rPr>
          <w:rFonts w:ascii="Times New Roman" w:eastAsia="Calibri" w:hAnsi="Times New Roman" w:cs="Times New Roman"/>
          <w:color w:val="222222"/>
          <w:sz w:val="22"/>
          <w:szCs w:val="22"/>
          <w:shd w:val="clear" w:color="auto" w:fill="FFFFFF"/>
        </w:rPr>
        <w:t>, Napoli, 2016</w:t>
      </w:r>
      <w:r w:rsidRPr="000920D5">
        <w:rPr>
          <w:rFonts w:ascii="Times New Roman" w:hAnsi="Times New Roman" w:cs="Times New Roman"/>
          <w:color w:val="222222"/>
          <w:sz w:val="22"/>
          <w:szCs w:val="22"/>
          <w:shd w:val="clear" w:color="auto" w:fill="FFFFFF"/>
        </w:rPr>
        <w:t xml:space="preserve">, 39 ss..; </w:t>
      </w:r>
      <w:r w:rsidRPr="000920D5">
        <w:rPr>
          <w:rFonts w:ascii="Times New Roman" w:hAnsi="Times New Roman" w:cs="Times New Roman"/>
          <w:sz w:val="22"/>
          <w:szCs w:val="22"/>
        </w:rPr>
        <w:t xml:space="preserve">F. </w:t>
      </w:r>
      <w:r w:rsidRPr="000920D5">
        <w:rPr>
          <w:rFonts w:ascii="Times New Roman" w:hAnsi="Times New Roman" w:cs="Times New Roman"/>
          <w:smallCaps/>
          <w:sz w:val="22"/>
          <w:szCs w:val="22"/>
        </w:rPr>
        <w:t>Scalia</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Il silenzio assenso nelle c.d. materie sensibili alla luce della riforma Madia</w:t>
      </w:r>
      <w:r w:rsidRPr="000920D5">
        <w:rPr>
          <w:rFonts w:ascii="Times New Roman" w:hAnsi="Times New Roman" w:cs="Times New Roman"/>
          <w:sz w:val="22"/>
          <w:szCs w:val="22"/>
        </w:rPr>
        <w:t>, cit. 13.</w:t>
      </w:r>
    </w:p>
  </w:footnote>
  <w:footnote w:id="16">
    <w:p w14:paraId="649FF525" w14:textId="0C05F531" w:rsidR="00623C5B" w:rsidRPr="000920D5" w:rsidRDefault="00623C5B" w:rsidP="000920D5">
      <w:pPr>
        <w:widowControl w:val="0"/>
        <w:autoSpaceDE w:val="0"/>
        <w:autoSpaceDN w:val="0"/>
        <w:adjustRightInd w:val="0"/>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Cfr. G. </w:t>
      </w:r>
      <w:r w:rsidRPr="000920D5">
        <w:rPr>
          <w:rFonts w:ascii="Times New Roman" w:hAnsi="Times New Roman" w:cs="Times New Roman"/>
          <w:smallCaps/>
          <w:sz w:val="22"/>
          <w:szCs w:val="22"/>
        </w:rPr>
        <w:t>Sciullo</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Conferenza di servizi come meccanismo di decisione</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Giorn. dir. amm</w:t>
      </w:r>
      <w:r w:rsidRPr="000920D5">
        <w:rPr>
          <w:rFonts w:ascii="Times New Roman" w:hAnsi="Times New Roman" w:cs="Times New Roman"/>
          <w:sz w:val="22"/>
          <w:szCs w:val="22"/>
        </w:rPr>
        <w:t>., 2011, 1142 e 1145, che rileva che la mancata espressa inclusione delle amministrazioni preposte alla tutela del patrimonio storico-artistico è addebitabile ad  una mera svista del legislatore, “</w:t>
      </w:r>
      <w:r w:rsidRPr="000920D5">
        <w:rPr>
          <w:rFonts w:ascii="Times New Roman" w:hAnsi="Times New Roman" w:cs="Times New Roman"/>
          <w:i/>
          <w:sz w:val="22"/>
          <w:szCs w:val="22"/>
        </w:rPr>
        <w:t>considerato che esso figura fra gli interessi sensibili nella disciplina delle modalità di manifestazione del dissenso e in quella del suo superamento (cfr. art. 14-quater, c. 1 e 3)</w:t>
      </w:r>
      <w:r w:rsidRPr="000920D5">
        <w:rPr>
          <w:rFonts w:ascii="Times New Roman" w:hAnsi="Times New Roman" w:cs="Times New Roman"/>
          <w:sz w:val="22"/>
          <w:szCs w:val="22"/>
        </w:rPr>
        <w:t xml:space="preserve">”. La previsione è fondata nella specie sul principio della leale collaborazione istituzionale (Cons. Stato, Sez. VI, 5 marzo 2014, n. 1059; Id., Sez. V, 24 gennaio 2013, n. 434, </w:t>
      </w:r>
      <w:r w:rsidRPr="000920D5">
        <w:rPr>
          <w:rFonts w:ascii="Times New Roman" w:hAnsi="Times New Roman" w:cs="Times New Roman"/>
          <w:bCs/>
          <w:sz w:val="22"/>
          <w:szCs w:val="22"/>
        </w:rPr>
        <w:t xml:space="preserve">in </w:t>
      </w:r>
      <w:r w:rsidRPr="000920D5">
        <w:rPr>
          <w:rFonts w:ascii="Times New Roman" w:hAnsi="Times New Roman" w:cs="Times New Roman"/>
          <w:bCs/>
          <w:i/>
          <w:sz w:val="22"/>
          <w:szCs w:val="22"/>
        </w:rPr>
        <w:t>Foro amm.-C.d.S</w:t>
      </w:r>
      <w:r w:rsidRPr="000920D5">
        <w:rPr>
          <w:rFonts w:ascii="Times New Roman" w:hAnsi="Times New Roman" w:cs="Times New Roman"/>
          <w:bCs/>
          <w:sz w:val="22"/>
          <w:szCs w:val="22"/>
        </w:rPr>
        <w:t xml:space="preserve">., 2013, </w:t>
      </w:r>
      <w:r w:rsidRPr="000920D5">
        <w:rPr>
          <w:rFonts w:ascii="Times New Roman" w:hAnsi="Times New Roman" w:cs="Times New Roman"/>
          <w:sz w:val="22"/>
          <w:szCs w:val="22"/>
        </w:rPr>
        <w:t>199).</w:t>
      </w:r>
    </w:p>
  </w:footnote>
  <w:footnote w:id="17">
    <w:p w14:paraId="17169C09" w14:textId="685CB1C9"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Il riferimento va in particolare all’art. 2 della l. n. 124/2015, recante “Delega riordino conferenza di servizi”.</w:t>
      </w:r>
    </w:p>
  </w:footnote>
  <w:footnote w:id="18">
    <w:p w14:paraId="5E3E1610" w14:textId="70B17A8F"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In particolare gli artt. 14-</w:t>
      </w:r>
      <w:r w:rsidRPr="000920D5">
        <w:rPr>
          <w:i/>
          <w:sz w:val="22"/>
          <w:szCs w:val="22"/>
        </w:rPr>
        <w:t>bis</w:t>
      </w:r>
      <w:r w:rsidRPr="000920D5">
        <w:rPr>
          <w:sz w:val="22"/>
          <w:szCs w:val="22"/>
        </w:rPr>
        <w:t>, comma 4, 14-</w:t>
      </w:r>
      <w:r w:rsidRPr="000920D5">
        <w:rPr>
          <w:i/>
          <w:sz w:val="22"/>
          <w:szCs w:val="22"/>
        </w:rPr>
        <w:t>ter</w:t>
      </w:r>
      <w:r w:rsidRPr="000920D5">
        <w:rPr>
          <w:sz w:val="22"/>
          <w:szCs w:val="22"/>
        </w:rPr>
        <w:t>, comma 6.</w:t>
      </w:r>
    </w:p>
  </w:footnote>
  <w:footnote w:id="19">
    <w:p w14:paraId="678C7544" w14:textId="13C0BB52" w:rsidR="00623C5B" w:rsidRPr="000920D5" w:rsidRDefault="00623C5B" w:rsidP="000920D5">
      <w:pPr>
        <w:widowControl w:val="0"/>
        <w:autoSpaceDE w:val="0"/>
        <w:autoSpaceDN w:val="0"/>
        <w:adjustRightInd w:val="0"/>
        <w:jc w:val="both"/>
        <w:rPr>
          <w:rFonts w:ascii="Times New Roman" w:hAnsi="Times New Roman" w:cs="Times New Roman"/>
          <w:sz w:val="22"/>
          <w:szCs w:val="22"/>
          <w:lang w:val="en-US"/>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Per la distinzione tra silenzio provvedimentale e silenzio procedimentale B.E. </w:t>
      </w:r>
      <w:r w:rsidRPr="000920D5">
        <w:rPr>
          <w:rFonts w:ascii="Times New Roman" w:hAnsi="Times New Roman" w:cs="Times New Roman"/>
          <w:smallCaps/>
          <w:sz w:val="22"/>
          <w:szCs w:val="22"/>
        </w:rPr>
        <w:t>Tonoletti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della Pubblica Amministrazione</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Dig. disc. pubb</w:t>
      </w:r>
      <w:r w:rsidRPr="000920D5">
        <w:rPr>
          <w:rFonts w:ascii="Times New Roman" w:hAnsi="Times New Roman" w:cs="Times New Roman"/>
          <w:sz w:val="22"/>
          <w:szCs w:val="22"/>
        </w:rPr>
        <w:t xml:space="preserve">., 1999, 174, che precisa quanto riportato nel testo. Sul tema del silenzio assenso la letteratura è sconfinata, senza pretese di completezza cfr. V. </w:t>
      </w:r>
      <w:r w:rsidRPr="000920D5">
        <w:rPr>
          <w:rFonts w:ascii="Times New Roman" w:hAnsi="Times New Roman" w:cs="Times New Roman"/>
          <w:smallCaps/>
          <w:sz w:val="22"/>
          <w:szCs w:val="22"/>
        </w:rPr>
        <w:t>Cerulli Irelli,</w:t>
      </w:r>
      <w:r w:rsidRPr="000920D5">
        <w:rPr>
          <w:rFonts w:ascii="Times New Roman" w:hAnsi="Times New Roman" w:cs="Times New Roman"/>
          <w:i/>
          <w:sz w:val="22"/>
          <w:szCs w:val="22"/>
        </w:rPr>
        <w:t xml:space="preserve"> Modelli procedimentali alternativi in tema di autorizzazioni</w:t>
      </w:r>
      <w:r w:rsidRPr="000920D5">
        <w:rPr>
          <w:rFonts w:ascii="Times New Roman" w:hAnsi="Times New Roman" w:cs="Times New Roman"/>
          <w:sz w:val="22"/>
          <w:szCs w:val="22"/>
        </w:rPr>
        <w:t>, in</w:t>
      </w:r>
      <w:r w:rsidRPr="000920D5">
        <w:rPr>
          <w:rFonts w:ascii="Times New Roman" w:hAnsi="Times New Roman" w:cs="Times New Roman"/>
          <w:i/>
          <w:sz w:val="22"/>
          <w:szCs w:val="22"/>
        </w:rPr>
        <w:t xml:space="preserve"> Dir. proc. amm</w:t>
      </w:r>
      <w:r w:rsidRPr="000920D5">
        <w:rPr>
          <w:rFonts w:ascii="Times New Roman" w:hAnsi="Times New Roman" w:cs="Times New Roman"/>
          <w:sz w:val="22"/>
          <w:szCs w:val="22"/>
        </w:rPr>
        <w:t>., 1993, 55 ss.;</w:t>
      </w:r>
      <w:r w:rsidRPr="000920D5">
        <w:rPr>
          <w:rFonts w:ascii="Times New Roman" w:hAnsi="Times New Roman" w:cs="Times New Roman"/>
          <w:smallCaps/>
          <w:sz w:val="22"/>
          <w:szCs w:val="22"/>
        </w:rPr>
        <w:t xml:space="preserve"> </w:t>
      </w:r>
      <w:r w:rsidRPr="000920D5">
        <w:rPr>
          <w:rFonts w:ascii="Times New Roman" w:hAnsi="Times New Roman" w:cs="Times New Roman"/>
          <w:sz w:val="22"/>
          <w:szCs w:val="22"/>
        </w:rPr>
        <w:t xml:space="preserve"> M. </w:t>
      </w:r>
      <w:r w:rsidRPr="000920D5">
        <w:rPr>
          <w:rFonts w:ascii="Times New Roman" w:hAnsi="Times New Roman" w:cs="Times New Roman"/>
          <w:smallCaps/>
          <w:sz w:val="22"/>
          <w:szCs w:val="22"/>
          <w:lang w:val="en-US"/>
        </w:rPr>
        <w:t>D’Orsogna, R. Lombardi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Il silenzio assenso</w:t>
      </w:r>
      <w:r w:rsidRPr="000920D5">
        <w:rPr>
          <w:rFonts w:ascii="Times New Roman" w:hAnsi="Times New Roman" w:cs="Times New Roman"/>
          <w:sz w:val="22"/>
          <w:szCs w:val="22"/>
        </w:rPr>
        <w:t xml:space="preserve">, in M.A. </w:t>
      </w:r>
      <w:r w:rsidRPr="000920D5">
        <w:rPr>
          <w:rFonts w:ascii="Times New Roman" w:hAnsi="Times New Roman" w:cs="Times New Roman"/>
          <w:smallCaps/>
          <w:sz w:val="22"/>
          <w:szCs w:val="22"/>
          <w:lang w:val="en-US"/>
        </w:rPr>
        <w:t>Sandulli</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Codice dell’azione amministrativa</w:t>
      </w:r>
      <w:r w:rsidRPr="000920D5">
        <w:rPr>
          <w:rFonts w:ascii="Times New Roman" w:hAnsi="Times New Roman" w:cs="Times New Roman"/>
          <w:sz w:val="22"/>
          <w:szCs w:val="22"/>
        </w:rPr>
        <w:t xml:space="preserve">, Milano, 2011, 801; L. </w:t>
      </w:r>
      <w:r w:rsidRPr="000920D5">
        <w:rPr>
          <w:rFonts w:ascii="Times New Roman" w:hAnsi="Times New Roman" w:cs="Times New Roman"/>
          <w:smallCaps/>
          <w:sz w:val="22"/>
          <w:szCs w:val="22"/>
          <w:lang w:val="en-US"/>
        </w:rPr>
        <w:t>Giani</w:t>
      </w:r>
      <w:r w:rsidRPr="000920D5">
        <w:rPr>
          <w:rFonts w:ascii="Times New Roman" w:hAnsi="Times New Roman" w:cs="Times New Roman"/>
          <w:sz w:val="22"/>
          <w:szCs w:val="22"/>
          <w:lang w:val="en-US"/>
        </w:rPr>
        <w:t xml:space="preserve">, </w:t>
      </w:r>
      <w:r w:rsidRPr="000920D5">
        <w:rPr>
          <w:rFonts w:ascii="Times New Roman" w:hAnsi="Times New Roman" w:cs="Times New Roman"/>
          <w:i/>
          <w:iCs/>
          <w:sz w:val="22"/>
          <w:szCs w:val="22"/>
          <w:lang w:val="en-US"/>
        </w:rPr>
        <w:t xml:space="preserve">Articolo 20, </w:t>
      </w:r>
      <w:r w:rsidRPr="000920D5">
        <w:rPr>
          <w:rFonts w:ascii="Times New Roman" w:hAnsi="Times New Roman" w:cs="Times New Roman"/>
          <w:sz w:val="22"/>
          <w:szCs w:val="22"/>
          <w:lang w:val="en-US"/>
        </w:rPr>
        <w:t xml:space="preserve">in N. </w:t>
      </w:r>
      <w:r w:rsidRPr="000920D5">
        <w:rPr>
          <w:rFonts w:ascii="Times New Roman" w:hAnsi="Times New Roman" w:cs="Times New Roman"/>
          <w:smallCaps/>
          <w:sz w:val="22"/>
          <w:szCs w:val="22"/>
          <w:lang w:val="en-US"/>
        </w:rPr>
        <w:t>Paolantonio</w:t>
      </w:r>
      <w:r w:rsidRPr="000920D5">
        <w:rPr>
          <w:rFonts w:ascii="Times New Roman" w:hAnsi="Times New Roman" w:cs="Times New Roman"/>
          <w:sz w:val="22"/>
          <w:szCs w:val="22"/>
          <w:lang w:val="en-US"/>
        </w:rPr>
        <w:t xml:space="preserve">, </w:t>
      </w:r>
      <w:r w:rsidRPr="000920D5">
        <w:rPr>
          <w:rFonts w:ascii="Times New Roman" w:hAnsi="Times New Roman" w:cs="Times New Roman"/>
          <w:smallCaps/>
          <w:sz w:val="22"/>
          <w:szCs w:val="22"/>
          <w:lang w:val="en-US"/>
        </w:rPr>
        <w:t xml:space="preserve">A. </w:t>
      </w:r>
      <w:r w:rsidRPr="000920D5">
        <w:rPr>
          <w:rFonts w:ascii="Times New Roman" w:hAnsi="Times New Roman" w:cs="Times New Roman"/>
          <w:smallCaps/>
          <w:sz w:val="22"/>
          <w:szCs w:val="22"/>
        </w:rPr>
        <w:t>Police, A. Zito</w:t>
      </w:r>
      <w:r w:rsidRPr="000920D5">
        <w:rPr>
          <w:rFonts w:ascii="Times New Roman" w:hAnsi="Times New Roman" w:cs="Times New Roman"/>
          <w:sz w:val="22"/>
          <w:szCs w:val="22"/>
        </w:rPr>
        <w:t xml:space="preserve">, (a cura di) </w:t>
      </w:r>
      <w:r w:rsidRPr="000920D5">
        <w:rPr>
          <w:rFonts w:ascii="Times New Roman" w:hAnsi="Times New Roman" w:cs="Times New Roman"/>
          <w:i/>
          <w:iCs/>
          <w:sz w:val="22"/>
          <w:szCs w:val="22"/>
        </w:rPr>
        <w:t xml:space="preserve">La pubblica amministrazione e la sua azione, </w:t>
      </w:r>
      <w:r w:rsidRPr="000920D5">
        <w:rPr>
          <w:rFonts w:ascii="Times New Roman" w:hAnsi="Times New Roman" w:cs="Times New Roman"/>
          <w:sz w:val="22"/>
          <w:szCs w:val="22"/>
        </w:rPr>
        <w:t xml:space="preserve">Torino, 2005, 411 ss.; R. </w:t>
      </w:r>
      <w:r w:rsidRPr="000920D5">
        <w:rPr>
          <w:rFonts w:ascii="Times New Roman" w:hAnsi="Times New Roman" w:cs="Times New Roman"/>
          <w:smallCaps/>
          <w:sz w:val="22"/>
          <w:szCs w:val="22"/>
        </w:rPr>
        <w:t>Giovagnoli</w:t>
      </w:r>
      <w:r w:rsidRPr="000920D5">
        <w:rPr>
          <w:rFonts w:ascii="Times New Roman" w:hAnsi="Times New Roman" w:cs="Times New Roman"/>
          <w:sz w:val="22"/>
          <w:szCs w:val="22"/>
        </w:rPr>
        <w:t xml:space="preserve">, </w:t>
      </w:r>
      <w:r w:rsidRPr="000920D5">
        <w:rPr>
          <w:rFonts w:ascii="Times New Roman" w:hAnsi="Times New Roman" w:cs="Times New Roman"/>
          <w:i/>
          <w:iCs/>
          <w:sz w:val="22"/>
          <w:szCs w:val="22"/>
        </w:rPr>
        <w:t>I silenzi della Pubblica Amministrazione dopo la legge n. 80/2005</w:t>
      </w:r>
      <w:r w:rsidRPr="000920D5">
        <w:rPr>
          <w:rFonts w:ascii="Times New Roman" w:hAnsi="Times New Roman" w:cs="Times New Roman"/>
          <w:sz w:val="22"/>
          <w:szCs w:val="22"/>
        </w:rPr>
        <w:t xml:space="preserve">, Milano, 2005; W. </w:t>
      </w:r>
      <w:r w:rsidRPr="000920D5">
        <w:rPr>
          <w:rFonts w:ascii="Times New Roman" w:hAnsi="Times New Roman" w:cs="Times New Roman"/>
          <w:smallCaps/>
          <w:sz w:val="22"/>
          <w:szCs w:val="22"/>
        </w:rPr>
        <w:t>Giulietti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w:t>
      </w:r>
      <w:r w:rsidRPr="000920D5">
        <w:rPr>
          <w:rFonts w:ascii="Times New Roman" w:hAnsi="Times New Roman" w:cs="Times New Roman"/>
          <w:sz w:val="22"/>
          <w:szCs w:val="22"/>
        </w:rPr>
        <w:t xml:space="preserve">, in A. </w:t>
      </w:r>
      <w:r w:rsidRPr="000920D5">
        <w:rPr>
          <w:rFonts w:ascii="Times New Roman" w:hAnsi="Times New Roman" w:cs="Times New Roman"/>
          <w:smallCaps/>
          <w:sz w:val="22"/>
          <w:szCs w:val="22"/>
        </w:rPr>
        <w:t>Bartolini, S. Fantini, G. Ferrari</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Codice dell'azione amministrativa e delle responsabilità</w:t>
      </w:r>
      <w:r w:rsidRPr="000920D5">
        <w:rPr>
          <w:rFonts w:ascii="Times New Roman" w:hAnsi="Times New Roman" w:cs="Times New Roman"/>
          <w:sz w:val="22"/>
          <w:szCs w:val="22"/>
        </w:rPr>
        <w:t xml:space="preserve">, Roma, 2010, 485; P. </w:t>
      </w:r>
      <w:r w:rsidRPr="000920D5">
        <w:rPr>
          <w:rFonts w:ascii="Times New Roman" w:hAnsi="Times New Roman" w:cs="Times New Roman"/>
          <w:smallCaps/>
          <w:sz w:val="22"/>
          <w:szCs w:val="22"/>
        </w:rPr>
        <w:t>Lazzara</w:t>
      </w:r>
      <w:r w:rsidRPr="000920D5">
        <w:rPr>
          <w:rFonts w:ascii="Times New Roman" w:hAnsi="Times New Roman" w:cs="Times New Roman"/>
          <w:sz w:val="22"/>
          <w:szCs w:val="22"/>
        </w:rPr>
        <w:t xml:space="preserve">, </w:t>
      </w:r>
      <w:r w:rsidRPr="000920D5">
        <w:rPr>
          <w:rFonts w:ascii="Times New Roman" w:hAnsi="Times New Roman" w:cs="Times New Roman"/>
          <w:i/>
          <w:iCs/>
          <w:sz w:val="22"/>
          <w:szCs w:val="22"/>
        </w:rPr>
        <w:t>I procedimenti amministrativi ad istanza di parte. Dalla disciplina generale sul procedimento (l. 241/90) alla direttiva « servizi » (2006/123/CE)</w:t>
      </w:r>
      <w:r w:rsidRPr="000920D5">
        <w:rPr>
          <w:rFonts w:ascii="Times New Roman" w:hAnsi="Times New Roman" w:cs="Times New Roman"/>
          <w:sz w:val="22"/>
          <w:szCs w:val="22"/>
        </w:rPr>
        <w:t xml:space="preserve">, Napoli, 2008; G. </w:t>
      </w:r>
      <w:r w:rsidRPr="000920D5">
        <w:rPr>
          <w:rFonts w:ascii="Times New Roman" w:hAnsi="Times New Roman" w:cs="Times New Roman"/>
          <w:smallCaps/>
          <w:sz w:val="22"/>
          <w:szCs w:val="22"/>
        </w:rPr>
        <w:t>Morbidelli</w:t>
      </w:r>
      <w:r w:rsidRPr="000920D5">
        <w:rPr>
          <w:rFonts w:ascii="Times New Roman" w:hAnsi="Times New Roman" w:cs="Times New Roman"/>
          <w:sz w:val="22"/>
          <w:szCs w:val="22"/>
        </w:rPr>
        <w:t xml:space="preserve">, </w:t>
      </w:r>
      <w:r w:rsidRPr="000920D5">
        <w:rPr>
          <w:rFonts w:ascii="Times New Roman" w:hAnsi="Times New Roman" w:cs="Times New Roman"/>
          <w:i/>
          <w:iCs/>
          <w:sz w:val="22"/>
          <w:szCs w:val="22"/>
        </w:rPr>
        <w:t>Il silenzio assenso</w:t>
      </w:r>
      <w:r w:rsidRPr="000920D5">
        <w:rPr>
          <w:rFonts w:ascii="Times New Roman" w:hAnsi="Times New Roman" w:cs="Times New Roman"/>
          <w:sz w:val="22"/>
          <w:szCs w:val="22"/>
        </w:rPr>
        <w:t xml:space="preserve">, in V. </w:t>
      </w:r>
      <w:r w:rsidRPr="000920D5">
        <w:rPr>
          <w:rFonts w:ascii="Times New Roman" w:hAnsi="Times New Roman" w:cs="Times New Roman"/>
          <w:smallCaps/>
          <w:sz w:val="22"/>
          <w:szCs w:val="22"/>
        </w:rPr>
        <w:t>Cerulli Irelli</w:t>
      </w:r>
      <w:r w:rsidRPr="000920D5">
        <w:rPr>
          <w:rFonts w:ascii="Times New Roman" w:hAnsi="Times New Roman" w:cs="Times New Roman"/>
          <w:sz w:val="22"/>
          <w:szCs w:val="22"/>
        </w:rPr>
        <w:t xml:space="preserve"> (a cura di) </w:t>
      </w:r>
      <w:r w:rsidRPr="000920D5">
        <w:rPr>
          <w:rFonts w:ascii="Times New Roman" w:hAnsi="Times New Roman" w:cs="Times New Roman"/>
          <w:i/>
          <w:iCs/>
          <w:sz w:val="22"/>
          <w:szCs w:val="22"/>
        </w:rPr>
        <w:t xml:space="preserve">La disciplina generale dell’azione amministrativa </w:t>
      </w:r>
      <w:r w:rsidRPr="000920D5">
        <w:rPr>
          <w:rFonts w:ascii="Times New Roman" w:hAnsi="Times New Roman" w:cs="Times New Roman"/>
          <w:sz w:val="22"/>
          <w:szCs w:val="22"/>
        </w:rPr>
        <w:t xml:space="preserve">Napoli, 2006, 269 ss.; A.M. </w:t>
      </w:r>
      <w:r w:rsidRPr="000920D5">
        <w:rPr>
          <w:rFonts w:ascii="Times New Roman" w:hAnsi="Times New Roman" w:cs="Times New Roman"/>
          <w:smallCaps/>
          <w:sz w:val="22"/>
          <w:szCs w:val="22"/>
        </w:rPr>
        <w:t>Sandulli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Il silenzio della pubblica amministrazione oggi: aspetti sostanziali e processuali</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Dir. e soc</w:t>
      </w:r>
      <w:r w:rsidRPr="000920D5">
        <w:rPr>
          <w:rFonts w:ascii="Times New Roman" w:hAnsi="Times New Roman" w:cs="Times New Roman"/>
          <w:sz w:val="22"/>
          <w:szCs w:val="22"/>
        </w:rPr>
        <w:t xml:space="preserve">., 1982, 732; M.A. </w:t>
      </w:r>
      <w:r w:rsidRPr="000920D5">
        <w:rPr>
          <w:rFonts w:ascii="Times New Roman" w:hAnsi="Times New Roman" w:cs="Times New Roman"/>
          <w:smallCaps/>
          <w:sz w:val="22"/>
          <w:szCs w:val="22"/>
        </w:rPr>
        <w:t>Sandulli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Riflessioni sulla tutela del cittadino contro il silenzio della P.A</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Giust. civ</w:t>
      </w:r>
      <w:r w:rsidRPr="000920D5">
        <w:rPr>
          <w:rFonts w:ascii="Times New Roman" w:hAnsi="Times New Roman" w:cs="Times New Roman"/>
          <w:sz w:val="22"/>
          <w:szCs w:val="22"/>
        </w:rPr>
        <w:t xml:space="preserve">., 1994, 485 ss.; </w:t>
      </w:r>
      <w:r w:rsidRPr="000920D5">
        <w:rPr>
          <w:rFonts w:ascii="Times New Roman" w:hAnsi="Times New Roman" w:cs="Times New Roman"/>
          <w:smallCaps/>
          <w:sz w:val="22"/>
          <w:szCs w:val="22"/>
        </w:rPr>
        <w:t>Id</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L’istituto del silenzio assenso tra semplificazione e incertezza</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Nuove auton</w:t>
      </w:r>
      <w:r w:rsidRPr="000920D5">
        <w:rPr>
          <w:rFonts w:ascii="Times New Roman" w:hAnsi="Times New Roman" w:cs="Times New Roman"/>
          <w:sz w:val="22"/>
          <w:szCs w:val="22"/>
        </w:rPr>
        <w:t xml:space="preserve">., 2012, 454 ; </w:t>
      </w:r>
      <w:r w:rsidRPr="000920D5">
        <w:rPr>
          <w:rFonts w:ascii="Times New Roman" w:hAnsi="Times New Roman" w:cs="Times New Roman"/>
          <w:smallCaps/>
          <w:sz w:val="22"/>
          <w:szCs w:val="22"/>
        </w:rPr>
        <w:t>Id</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Gli effetti diretti della L. 7 agosto 2015 n. 124 sulle attività economiche: le novità in tema di s.c.i.a., silenzio-assenso e autotutela</w:t>
      </w:r>
      <w:r w:rsidRPr="000920D5">
        <w:rPr>
          <w:rFonts w:ascii="Times New Roman" w:hAnsi="Times New Roman" w:cs="Times New Roman"/>
          <w:sz w:val="22"/>
          <w:szCs w:val="22"/>
        </w:rPr>
        <w:t xml:space="preserve">, in federalismi.it, 17, 2015; E. </w:t>
      </w:r>
      <w:r w:rsidRPr="000920D5">
        <w:rPr>
          <w:rFonts w:ascii="Times New Roman" w:hAnsi="Times New Roman" w:cs="Times New Roman"/>
          <w:smallCaps/>
          <w:sz w:val="22"/>
          <w:szCs w:val="22"/>
        </w:rPr>
        <w:t>Scotti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w:t>
      </w:r>
      <w:r w:rsidRPr="000920D5">
        <w:rPr>
          <w:rFonts w:ascii="Times New Roman" w:hAnsi="Times New Roman" w:cs="Times New Roman"/>
          <w:sz w:val="22"/>
          <w:szCs w:val="22"/>
        </w:rPr>
        <w:t xml:space="preserve">, in A. </w:t>
      </w:r>
      <w:r w:rsidRPr="000920D5">
        <w:rPr>
          <w:rFonts w:ascii="Times New Roman" w:hAnsi="Times New Roman" w:cs="Times New Roman"/>
          <w:smallCaps/>
          <w:sz w:val="22"/>
          <w:szCs w:val="22"/>
        </w:rPr>
        <w:t>Romano</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L’azione amministrativa</w:t>
      </w:r>
      <w:r w:rsidRPr="000920D5">
        <w:rPr>
          <w:rFonts w:ascii="Times New Roman" w:hAnsi="Times New Roman" w:cs="Times New Roman"/>
          <w:sz w:val="22"/>
          <w:szCs w:val="22"/>
        </w:rPr>
        <w:t xml:space="preserve">, cit.; M. </w:t>
      </w:r>
      <w:r w:rsidRPr="000920D5">
        <w:rPr>
          <w:rFonts w:ascii="Times New Roman" w:hAnsi="Times New Roman" w:cs="Times New Roman"/>
          <w:smallCaps/>
          <w:sz w:val="22"/>
          <w:szCs w:val="22"/>
        </w:rPr>
        <w:t>Renna</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semplificazione amministrativa (nel decreto legislativo n. 152/2006)</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Riv. giur. amb</w:t>
      </w:r>
      <w:r w:rsidRPr="000920D5">
        <w:rPr>
          <w:rFonts w:ascii="Times New Roman" w:hAnsi="Times New Roman" w:cs="Times New Roman"/>
          <w:sz w:val="22"/>
          <w:szCs w:val="22"/>
        </w:rPr>
        <w:t xml:space="preserve">., 2009, 649; A. </w:t>
      </w:r>
      <w:r w:rsidRPr="000920D5">
        <w:rPr>
          <w:rFonts w:ascii="Times New Roman" w:hAnsi="Times New Roman" w:cs="Times New Roman"/>
          <w:smallCaps/>
          <w:sz w:val="22"/>
          <w:szCs w:val="22"/>
        </w:rPr>
        <w:t>Travi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 ed esercizio della funzione amministrativa</w:t>
      </w:r>
      <w:r w:rsidRPr="000920D5">
        <w:rPr>
          <w:rFonts w:ascii="Times New Roman" w:hAnsi="Times New Roman" w:cs="Times New Roman"/>
          <w:sz w:val="22"/>
          <w:szCs w:val="22"/>
        </w:rPr>
        <w:t xml:space="preserve">, Padova, 1985; G. </w:t>
      </w:r>
      <w:r w:rsidRPr="000920D5">
        <w:rPr>
          <w:rFonts w:ascii="Times New Roman" w:hAnsi="Times New Roman" w:cs="Times New Roman"/>
          <w:smallCaps/>
          <w:sz w:val="22"/>
          <w:szCs w:val="22"/>
        </w:rPr>
        <w:t>Vesperini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Celerità dell’azione amministrativa, tutela di interessi ambientali e regole di utilizzazione del silenzio assenso</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Riv. it. dir. pubbl. com</w:t>
      </w:r>
      <w:r w:rsidRPr="000920D5">
        <w:rPr>
          <w:rFonts w:ascii="Times New Roman" w:hAnsi="Times New Roman" w:cs="Times New Roman"/>
          <w:sz w:val="22"/>
          <w:szCs w:val="22"/>
        </w:rPr>
        <w:t>., 1992, 901 ss..</w:t>
      </w:r>
    </w:p>
  </w:footnote>
  <w:footnote w:id="20">
    <w:p w14:paraId="068103D9" w14:textId="55DB799D"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Cfr. Cons. St., Sez. VI, 29 dicembre 2008, n. 6591, in </w:t>
      </w:r>
      <w:r w:rsidRPr="000920D5">
        <w:rPr>
          <w:rFonts w:ascii="Times New Roman" w:hAnsi="Times New Roman" w:cs="Times New Roman"/>
          <w:i/>
          <w:sz w:val="22"/>
          <w:szCs w:val="22"/>
        </w:rPr>
        <w:t>Riv. giur. amb</w:t>
      </w:r>
      <w:r w:rsidRPr="000920D5">
        <w:rPr>
          <w:rFonts w:ascii="Times New Roman" w:hAnsi="Times New Roman" w:cs="Times New Roman"/>
          <w:sz w:val="22"/>
          <w:szCs w:val="22"/>
        </w:rPr>
        <w:t xml:space="preserve">., 3-4, 2009, 514, con nota di C. </w:t>
      </w:r>
      <w:r w:rsidRPr="000920D5">
        <w:rPr>
          <w:rFonts w:ascii="Times New Roman" w:hAnsi="Times New Roman" w:cs="Times New Roman"/>
          <w:smallCaps/>
          <w:sz w:val="22"/>
          <w:szCs w:val="22"/>
        </w:rPr>
        <w:t>Cremona</w:t>
      </w:r>
      <w:r w:rsidRPr="000920D5">
        <w:rPr>
          <w:rFonts w:ascii="Times New Roman" w:hAnsi="Times New Roman" w:cs="Times New Roman"/>
          <w:sz w:val="22"/>
          <w:szCs w:val="22"/>
        </w:rPr>
        <w:t xml:space="preserve">; Id., 17 giugno 2014, n. 3047, </w:t>
      </w:r>
      <w:r w:rsidRPr="000920D5">
        <w:rPr>
          <w:rFonts w:ascii="Times New Roman" w:hAnsi="Times New Roman" w:cs="Times New Roman"/>
          <w:i/>
          <w:sz w:val="22"/>
          <w:szCs w:val="22"/>
        </w:rPr>
        <w:t>Riv. giur. ed</w:t>
      </w:r>
      <w:r w:rsidRPr="000920D5">
        <w:rPr>
          <w:rFonts w:ascii="Times New Roman" w:hAnsi="Times New Roman" w:cs="Times New Roman"/>
          <w:sz w:val="22"/>
          <w:szCs w:val="22"/>
        </w:rPr>
        <w:t>. 2014, 4, I, 847.</w:t>
      </w:r>
    </w:p>
  </w:footnote>
  <w:footnote w:id="21">
    <w:p w14:paraId="237A7885" w14:textId="71F4DD91"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Cons. St., Sez. IV,</w:t>
      </w:r>
      <w:r w:rsidRPr="000920D5">
        <w:rPr>
          <w:rFonts w:ascii="Times New Roman" w:eastAsia="Times New Roman" w:hAnsi="Times New Roman" w:cs="Times New Roman"/>
          <w:sz w:val="22"/>
          <w:szCs w:val="22"/>
          <w:lang w:eastAsia="it-IT"/>
        </w:rPr>
        <w:t xml:space="preserve"> 28 ottobre 2013, n. 5188, in </w:t>
      </w:r>
      <w:r w:rsidRPr="000920D5">
        <w:rPr>
          <w:rFonts w:ascii="Times New Roman" w:eastAsia="Times New Roman" w:hAnsi="Times New Roman" w:cs="Times New Roman"/>
          <w:i/>
          <w:sz w:val="22"/>
          <w:szCs w:val="22"/>
          <w:lang w:eastAsia="it-IT"/>
        </w:rPr>
        <w:t>Riv. giur. amb</w:t>
      </w:r>
      <w:r w:rsidRPr="000920D5">
        <w:rPr>
          <w:rFonts w:ascii="Times New Roman" w:eastAsia="Times New Roman" w:hAnsi="Times New Roman" w:cs="Times New Roman"/>
          <w:sz w:val="22"/>
          <w:szCs w:val="22"/>
          <w:lang w:eastAsia="it-IT"/>
        </w:rPr>
        <w:t>. 2014, 2, 237.</w:t>
      </w:r>
    </w:p>
  </w:footnote>
  <w:footnote w:id="22">
    <w:p w14:paraId="6D2FC9DE" w14:textId="39C3C229" w:rsidR="00623C5B" w:rsidRPr="000920D5" w:rsidRDefault="00623C5B" w:rsidP="000920D5">
      <w:pPr>
        <w:pStyle w:val="Testonotaapidipagina"/>
        <w:jc w:val="both"/>
        <w:rPr>
          <w:rFonts w:ascii="Times New Roman" w:hAnsi="Times New Roman" w:cs="Times New Roman"/>
          <w:sz w:val="22"/>
          <w:szCs w:val="22"/>
        </w:rPr>
      </w:pPr>
      <w:r w:rsidRPr="000920D5">
        <w:rPr>
          <w:rStyle w:val="Rimandonotaapidipagina"/>
          <w:rFonts w:ascii="Times New Roman" w:hAnsi="Times New Roman" w:cs="Times New Roman"/>
          <w:sz w:val="22"/>
          <w:szCs w:val="22"/>
        </w:rPr>
        <w:footnoteRef/>
      </w:r>
      <w:r w:rsidRPr="000920D5">
        <w:rPr>
          <w:rFonts w:ascii="Times New Roman" w:hAnsi="Times New Roman" w:cs="Times New Roman"/>
          <w:sz w:val="22"/>
          <w:szCs w:val="22"/>
        </w:rPr>
        <w:t xml:space="preserve"> Tale lettura è propugnata nella circolare dell’Ufficio legislativo del MIBACT 16 novembre 2015, avente ad oggetto “</w:t>
      </w:r>
      <w:r w:rsidRPr="000920D5">
        <w:rPr>
          <w:rFonts w:ascii="Times New Roman" w:hAnsi="Times New Roman" w:cs="Times New Roman"/>
          <w:i/>
          <w:sz w:val="22"/>
          <w:szCs w:val="22"/>
        </w:rPr>
        <w:t>Silenzio assenso tra amministrazioni pubbliche e gestori di beni o servizi pubblici – art. 3 della legge n. 124 del 7 agosto 2015, recante Deleghe al Governo in materia di riorganizzazione delle amministrazioni pubbliche, pubblicata nella G.U. n. 187 del 13 agosto 2015–nota circolare</w:t>
      </w:r>
      <w:r w:rsidRPr="000920D5">
        <w:rPr>
          <w:rFonts w:ascii="Times New Roman" w:hAnsi="Times New Roman" w:cs="Times New Roman"/>
          <w:sz w:val="22"/>
          <w:szCs w:val="22"/>
        </w:rPr>
        <w:t xml:space="preserve">”, reperibile nel sito internet </w:t>
      </w:r>
      <w:r w:rsidRPr="000920D5">
        <w:rPr>
          <w:rFonts w:ascii="Times New Roman" w:hAnsi="Times New Roman" w:cs="Times New Roman"/>
          <w:i/>
          <w:sz w:val="22"/>
          <w:szCs w:val="22"/>
        </w:rPr>
        <w:t>http://www.sbeap.fvg.beniculturali.it/</w:t>
      </w:r>
      <w:r w:rsidRPr="000920D5">
        <w:rPr>
          <w:rFonts w:ascii="Times New Roman" w:hAnsi="Times New Roman" w:cs="Times New Roman"/>
          <w:sz w:val="22"/>
          <w:szCs w:val="22"/>
        </w:rPr>
        <w:t xml:space="preserve">, su cui si vedano le considerazioni critiche di G. </w:t>
      </w:r>
      <w:r w:rsidRPr="000920D5">
        <w:rPr>
          <w:rFonts w:ascii="Times New Roman" w:hAnsi="Times New Roman" w:cs="Times New Roman"/>
          <w:smallCaps/>
          <w:sz w:val="22"/>
          <w:szCs w:val="22"/>
        </w:rPr>
        <w:t>Mari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rilevanza della disciplina del silenzio assenso tra amministrazioni pubbliche nei procedimenti relativi ai titoli abilitativi edilizi: il ruolo dello sportello unico dell’edilizia. Considerazioni a margine di una recente circolare del MIBACT</w:t>
      </w:r>
      <w:r w:rsidRPr="000920D5">
        <w:rPr>
          <w:rFonts w:ascii="Times New Roman" w:hAnsi="Times New Roman" w:cs="Times New Roman"/>
          <w:sz w:val="22"/>
          <w:szCs w:val="22"/>
        </w:rPr>
        <w:t xml:space="preserve">, in corso di pubblicazione in </w:t>
      </w:r>
      <w:r w:rsidRPr="000920D5">
        <w:rPr>
          <w:rFonts w:ascii="Times New Roman" w:hAnsi="Times New Roman" w:cs="Times New Roman"/>
          <w:i/>
          <w:sz w:val="22"/>
          <w:szCs w:val="22"/>
        </w:rPr>
        <w:t>Riv. giur. ed</w:t>
      </w:r>
      <w:r w:rsidRPr="000920D5">
        <w:rPr>
          <w:rFonts w:ascii="Times New Roman" w:hAnsi="Times New Roman" w:cs="Times New Roman"/>
          <w:sz w:val="22"/>
          <w:szCs w:val="22"/>
        </w:rPr>
        <w:t xml:space="preserve">. 2016. </w:t>
      </w:r>
    </w:p>
  </w:footnote>
  <w:footnote w:id="23">
    <w:p w14:paraId="579CE64B" w14:textId="1FC51F71" w:rsidR="00623C5B" w:rsidRPr="000920D5" w:rsidRDefault="00623C5B" w:rsidP="000920D5">
      <w:pPr>
        <w:widowControl w:val="0"/>
        <w:jc w:val="both"/>
        <w:rPr>
          <w:sz w:val="22"/>
          <w:szCs w:val="22"/>
        </w:rPr>
      </w:pPr>
      <w:r w:rsidRPr="000920D5">
        <w:rPr>
          <w:rStyle w:val="Rimandonotaapidipagina"/>
          <w:sz w:val="22"/>
          <w:szCs w:val="22"/>
        </w:rPr>
        <w:footnoteRef/>
      </w:r>
      <w:r w:rsidRPr="000920D5">
        <w:rPr>
          <w:sz w:val="22"/>
          <w:szCs w:val="22"/>
        </w:rPr>
        <w:t xml:space="preserve"> </w:t>
      </w:r>
      <w:r w:rsidRPr="000920D5">
        <w:rPr>
          <w:rFonts w:ascii="Times New Roman" w:hAnsi="Times New Roman" w:cs="Times New Roman"/>
          <w:sz w:val="22"/>
          <w:szCs w:val="22"/>
        </w:rPr>
        <w:t xml:space="preserve">G. </w:t>
      </w:r>
      <w:r w:rsidRPr="000920D5">
        <w:rPr>
          <w:rFonts w:ascii="Times New Roman" w:hAnsi="Times New Roman" w:cs="Times New Roman"/>
          <w:smallCaps/>
          <w:sz w:val="22"/>
          <w:szCs w:val="22"/>
        </w:rPr>
        <w:t>Mari</w:t>
      </w:r>
      <w:r w:rsidRPr="000920D5">
        <w:rPr>
          <w:rFonts w:ascii="Times New Roman" w:hAnsi="Times New Roman" w:cs="Times New Roman"/>
          <w:sz w:val="22"/>
          <w:szCs w:val="22"/>
        </w:rPr>
        <w:t xml:space="preserve">, </w:t>
      </w:r>
      <w:r w:rsidRPr="000920D5">
        <w:rPr>
          <w:rFonts w:ascii="Times New Roman" w:eastAsia="Calibri" w:hAnsi="Times New Roman" w:cs="Times New Roman"/>
          <w:i/>
          <w:sz w:val="22"/>
          <w:szCs w:val="22"/>
        </w:rPr>
        <w:t>Autorizzazioni preliminari e titoli abilitativi edilizi: il ruolo dello sportello unico dell’edilizia, la conferenza di servizi e il silenzio assenso di cui agli artt. 17-bis e 20 l. n. 241/1990</w:t>
      </w:r>
      <w:r w:rsidRPr="000920D5">
        <w:rPr>
          <w:rFonts w:ascii="Times New Roman" w:eastAsia="Calibri" w:hAnsi="Times New Roman" w:cs="Times New Roman"/>
          <w:sz w:val="22"/>
          <w:szCs w:val="22"/>
        </w:rPr>
        <w:t>,</w:t>
      </w:r>
      <w:r w:rsidRPr="000920D5">
        <w:rPr>
          <w:rFonts w:ascii="Times New Roman" w:eastAsia="Calibri" w:hAnsi="Times New Roman" w:cs="Times New Roman"/>
          <w:b/>
          <w:smallCaps/>
          <w:sz w:val="22"/>
          <w:szCs w:val="22"/>
        </w:rPr>
        <w:t xml:space="preserve"> </w:t>
      </w:r>
      <w:r w:rsidRPr="000920D5">
        <w:rPr>
          <w:rFonts w:ascii="Times New Roman" w:eastAsia="Calibri" w:hAnsi="Times New Roman" w:cs="Times New Roman"/>
          <w:color w:val="222222"/>
          <w:sz w:val="22"/>
          <w:szCs w:val="22"/>
          <w:shd w:val="clear" w:color="auto" w:fill="FFFFFF"/>
        </w:rPr>
        <w:t>cit.,</w:t>
      </w:r>
      <w:r w:rsidRPr="000920D5">
        <w:rPr>
          <w:rFonts w:ascii="Times New Roman" w:hAnsi="Times New Roman" w:cs="Times New Roman"/>
          <w:color w:val="222222"/>
          <w:sz w:val="22"/>
          <w:szCs w:val="22"/>
          <w:shd w:val="clear" w:color="auto" w:fill="FFFFFF"/>
        </w:rPr>
        <w:t xml:space="preserve"> 39 ss.. Propugna una lettura restrittiva anche </w:t>
      </w:r>
      <w:r w:rsidRPr="000920D5">
        <w:rPr>
          <w:rFonts w:ascii="Times New Roman" w:hAnsi="Times New Roman" w:cs="Times New Roman"/>
          <w:sz w:val="22"/>
          <w:szCs w:val="22"/>
        </w:rPr>
        <w:t xml:space="preserve">M.A. </w:t>
      </w:r>
      <w:r w:rsidRPr="000920D5">
        <w:rPr>
          <w:rFonts w:ascii="Times New Roman" w:hAnsi="Times New Roman" w:cs="Times New Roman"/>
          <w:smallCaps/>
          <w:sz w:val="22"/>
          <w:szCs w:val="22"/>
        </w:rPr>
        <w:t>Sandulli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Gli effetti diretti della L. 7 agosto 2015, n. 124 sulle attività economiche: le novità in tema di s.c.i.a., silenzio assenso e autotutela</w:t>
      </w:r>
      <w:r w:rsidRPr="000920D5">
        <w:rPr>
          <w:rFonts w:ascii="Times New Roman" w:hAnsi="Times New Roman" w:cs="Times New Roman"/>
          <w:sz w:val="22"/>
          <w:szCs w:val="22"/>
        </w:rPr>
        <w:t xml:space="preserve">, in federalismi.it, 2015, 17; </w:t>
      </w:r>
      <w:r w:rsidRPr="000920D5">
        <w:rPr>
          <w:rFonts w:ascii="Times New Roman" w:hAnsi="Times New Roman" w:cs="Times New Roman"/>
          <w:smallCaps/>
          <w:sz w:val="22"/>
          <w:szCs w:val="22"/>
        </w:rPr>
        <w:t>Id</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Postilla all’editoriale “Gli effetti diretti della L. 7 agosto 2015, n. 124 sulle attività economiche: le novità in tema di s.c.i.a., silenzio assenso e autotutela</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ivi</w:t>
      </w:r>
      <w:r w:rsidRPr="000920D5">
        <w:rPr>
          <w:rFonts w:ascii="Times New Roman" w:hAnsi="Times New Roman" w:cs="Times New Roman"/>
          <w:sz w:val="22"/>
          <w:szCs w:val="22"/>
        </w:rPr>
        <w:t>, 28 ottobre 2015, 20.</w:t>
      </w:r>
    </w:p>
  </w:footnote>
  <w:footnote w:id="24">
    <w:p w14:paraId="39BB367C" w14:textId="06921733"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L</w:t>
      </w:r>
      <w:r w:rsidRPr="000920D5">
        <w:rPr>
          <w:rFonts w:ascii="Times New Roman" w:eastAsia="Times New Roman" w:hAnsi="Times New Roman" w:cs="Times New Roman"/>
          <w:bCs/>
          <w:sz w:val="22"/>
          <w:szCs w:val="22"/>
          <w:lang w:eastAsia="it-IT"/>
        </w:rPr>
        <w:t>a semplificazione risiede nella attivazione delle specificità del regime di funzionamento della conferenza, ivi incluso un regime di “</w:t>
      </w:r>
      <w:r w:rsidRPr="000920D5">
        <w:rPr>
          <w:rFonts w:ascii="Times New Roman" w:eastAsia="Times New Roman" w:hAnsi="Times New Roman" w:cs="Times New Roman"/>
          <w:bCs/>
          <w:i/>
          <w:sz w:val="22"/>
          <w:szCs w:val="22"/>
          <w:lang w:eastAsia="it-IT"/>
        </w:rPr>
        <w:t>silenzio assenso endoprocedimentale decisorio</w:t>
      </w:r>
      <w:r w:rsidRPr="000920D5">
        <w:rPr>
          <w:rFonts w:ascii="Times New Roman" w:eastAsia="Times New Roman" w:hAnsi="Times New Roman" w:cs="Times New Roman"/>
          <w:bCs/>
          <w:sz w:val="22"/>
          <w:szCs w:val="22"/>
          <w:lang w:eastAsia="it-IT"/>
        </w:rPr>
        <w:t>” (</w:t>
      </w:r>
      <w:r w:rsidRPr="000920D5">
        <w:rPr>
          <w:rFonts w:ascii="Times New Roman" w:hAnsi="Times New Roman" w:cs="Times New Roman"/>
          <w:sz w:val="22"/>
          <w:szCs w:val="22"/>
        </w:rPr>
        <w:t xml:space="preserve">G. </w:t>
      </w:r>
      <w:r w:rsidRPr="000920D5">
        <w:rPr>
          <w:rFonts w:ascii="Times New Roman" w:hAnsi="Times New Roman" w:cs="Times New Roman"/>
          <w:smallCaps/>
          <w:sz w:val="22"/>
          <w:szCs w:val="22"/>
        </w:rPr>
        <w:t>Sciullo</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Conferenza di servizi come meccanismo di decisione</w:t>
      </w:r>
      <w:r w:rsidRPr="000920D5">
        <w:rPr>
          <w:rFonts w:ascii="Times New Roman" w:hAnsi="Times New Roman" w:cs="Times New Roman"/>
          <w:sz w:val="22"/>
          <w:szCs w:val="22"/>
        </w:rPr>
        <w:t xml:space="preserve">, in </w:t>
      </w:r>
      <w:r w:rsidRPr="000920D5">
        <w:rPr>
          <w:rFonts w:ascii="Times New Roman" w:hAnsi="Times New Roman" w:cs="Times New Roman"/>
          <w:i/>
          <w:sz w:val="22"/>
          <w:szCs w:val="22"/>
        </w:rPr>
        <w:t>Giorn. dir. amm</w:t>
      </w:r>
      <w:r w:rsidRPr="000920D5">
        <w:rPr>
          <w:rFonts w:ascii="Times New Roman" w:hAnsi="Times New Roman" w:cs="Times New Roman"/>
          <w:sz w:val="22"/>
          <w:szCs w:val="22"/>
        </w:rPr>
        <w:t xml:space="preserve">., 2011, 1140, il quale qualifica tale silenzio assenso “decisorio” perché interviene nella fase decisoria del procedimento, diversamente dal silenzio previsto dall’art. 16 l. n. 241/1990 concernente i pareri e, dunque, la fase istruttoria), che consente di </w:t>
      </w:r>
      <w:r w:rsidRPr="000920D5">
        <w:rPr>
          <w:rFonts w:ascii="Times New Roman" w:eastAsia="Times New Roman" w:hAnsi="Times New Roman" w:cs="Times New Roman"/>
          <w:bCs/>
          <w:sz w:val="22"/>
          <w:szCs w:val="22"/>
          <w:lang w:eastAsia="it-IT"/>
        </w:rPr>
        <w:t>ovviare sul piano del procedimento alla complessità dell’organizzazione dell’amministrazione.</w:t>
      </w:r>
    </w:p>
  </w:footnote>
  <w:footnote w:id="25">
    <w:p w14:paraId="19B36661" w14:textId="5FCE2D7D" w:rsidR="00623C5B" w:rsidRPr="000920D5" w:rsidRDefault="00623C5B" w:rsidP="000920D5">
      <w:pPr>
        <w:jc w:val="both"/>
        <w:rPr>
          <w:rFonts w:ascii="Times New Roman" w:eastAsia="Times New Roman" w:hAnsi="Times New Roman" w:cs="Times New Roman"/>
          <w:bCs/>
          <w:sz w:val="22"/>
          <w:szCs w:val="22"/>
          <w:lang w:eastAsia="it-IT"/>
        </w:rPr>
      </w:pPr>
      <w:r w:rsidRPr="000920D5">
        <w:rPr>
          <w:rStyle w:val="Rimandonotaapidipagina"/>
          <w:sz w:val="22"/>
          <w:szCs w:val="22"/>
        </w:rPr>
        <w:footnoteRef/>
      </w:r>
      <w:r w:rsidRPr="000920D5">
        <w:rPr>
          <w:sz w:val="22"/>
          <w:szCs w:val="22"/>
        </w:rPr>
        <w:t xml:space="preserve"> La questione dell’operatività dell’art. 17-</w:t>
      </w:r>
      <w:r w:rsidRPr="000920D5">
        <w:rPr>
          <w:i/>
          <w:sz w:val="22"/>
          <w:szCs w:val="22"/>
        </w:rPr>
        <w:t>bis</w:t>
      </w:r>
      <w:r w:rsidRPr="000920D5">
        <w:rPr>
          <w:sz w:val="22"/>
          <w:szCs w:val="22"/>
        </w:rPr>
        <w:t xml:space="preserve"> ai pareri impone di aprire una breve parentesi. </w:t>
      </w:r>
      <w:r w:rsidRPr="000920D5">
        <w:rPr>
          <w:rFonts w:ascii="Times New Roman" w:hAnsi="Times New Roman" w:cs="Times New Roman"/>
          <w:sz w:val="22"/>
          <w:szCs w:val="22"/>
        </w:rPr>
        <w:t xml:space="preserve">Autorevole dottrina </w:t>
      </w:r>
      <w:r w:rsidRPr="000920D5">
        <w:rPr>
          <w:rFonts w:ascii="Times New Roman" w:eastAsia="Times New Roman" w:hAnsi="Times New Roman" w:cs="Times New Roman"/>
          <w:bCs/>
          <w:sz w:val="22"/>
          <w:szCs w:val="22"/>
          <w:lang w:eastAsia="it-IT"/>
        </w:rPr>
        <w:t>(M</w:t>
      </w:r>
      <w:r w:rsidRPr="000920D5">
        <w:rPr>
          <w:rFonts w:ascii="Times New Roman" w:hAnsi="Times New Roman" w:cs="Times New Roman"/>
          <w:sz w:val="22"/>
          <w:szCs w:val="22"/>
        </w:rPr>
        <w:t xml:space="preserve">.A. </w:t>
      </w:r>
      <w:r w:rsidRPr="000920D5">
        <w:rPr>
          <w:rFonts w:ascii="Times New Roman" w:hAnsi="Times New Roman" w:cs="Times New Roman"/>
          <w:smallCaps/>
          <w:sz w:val="22"/>
          <w:szCs w:val="22"/>
        </w:rPr>
        <w:t>Sandulli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Postilla all’editoriale 'Gli effetti diretti della L. 7 agosto 2015 n. 124</w:t>
      </w:r>
      <w:r w:rsidRPr="000920D5">
        <w:rPr>
          <w:rFonts w:ascii="Times New Roman" w:eastAsia="Times New Roman" w:hAnsi="Times New Roman" w:cs="Times New Roman"/>
          <w:bCs/>
          <w:sz w:val="22"/>
          <w:szCs w:val="22"/>
          <w:lang w:eastAsia="it-IT"/>
        </w:rPr>
        <w:t xml:space="preserve">, cit.) </w:t>
      </w:r>
      <w:r w:rsidRPr="000920D5">
        <w:rPr>
          <w:rFonts w:ascii="Times New Roman" w:hAnsi="Times New Roman" w:cs="Times New Roman"/>
          <w:sz w:val="22"/>
          <w:szCs w:val="22"/>
        </w:rPr>
        <w:t>argomenta</w:t>
      </w:r>
      <w:r w:rsidRPr="000920D5">
        <w:rPr>
          <w:rFonts w:ascii="Times New Roman" w:eastAsia="Times New Roman" w:hAnsi="Times New Roman" w:cs="Times New Roman"/>
          <w:bCs/>
          <w:sz w:val="22"/>
          <w:szCs w:val="22"/>
          <w:lang w:eastAsia="it-IT"/>
        </w:rPr>
        <w:t xml:space="preserve"> sulla base del dato testuale che i pareri sarebbero esclusi dal nuovo meccanismo del silenzio-assenso “</w:t>
      </w:r>
      <w:r w:rsidRPr="000920D5">
        <w:rPr>
          <w:rFonts w:ascii="Times New Roman" w:eastAsia="Times New Roman" w:hAnsi="Times New Roman" w:cs="Times New Roman"/>
          <w:bCs/>
          <w:i/>
          <w:sz w:val="22"/>
          <w:szCs w:val="22"/>
          <w:lang w:eastAsia="it-IT"/>
        </w:rPr>
        <w:t>il dettato normativo è  invece  chiaramente  nel  senso  che  il  provvedimento  implicito  di  accoglimento  si forma soltanto sugli atti di “assenso,  concerto  o  nulla-osta” sui quali l’amministrazione richiedente abbia redatto uno “schema di provvedimento corredato della relativa documentazione”, sul quale l’amministrazione  adita deve  dunque  soltanto  esprimere  (o  meno)  la  propria  adesione”, mentre la categoria dei pareri continuerebbe a trovare disciplina nell’art. 16, co. 3 rimasto immutato (che,  nel  consentire  di  prescindere  dai pareri  obbligatori,  lascia  espressamente  esclusi  quelli  delle “amministrazioni preposte alla tutela ambientale, paesaggistica, territoriale e della salute dei cittadini</w:t>
      </w:r>
      <w:r w:rsidRPr="000920D5">
        <w:rPr>
          <w:rFonts w:ascii="Times New Roman" w:eastAsia="Times New Roman" w:hAnsi="Times New Roman" w:cs="Times New Roman"/>
          <w:bCs/>
          <w:sz w:val="22"/>
          <w:szCs w:val="22"/>
          <w:lang w:eastAsia="it-IT"/>
        </w:rPr>
        <w:t>”. Altra dottrina (</w:t>
      </w:r>
      <w:r w:rsidRPr="000920D5">
        <w:rPr>
          <w:rFonts w:ascii="Times New Roman" w:hAnsi="Times New Roman" w:cs="Times New Roman"/>
          <w:sz w:val="22"/>
          <w:szCs w:val="22"/>
        </w:rPr>
        <w:t xml:space="preserve">G. </w:t>
      </w:r>
      <w:r w:rsidRPr="000920D5">
        <w:rPr>
          <w:rFonts w:ascii="Times New Roman" w:hAnsi="Times New Roman" w:cs="Times New Roman"/>
          <w:smallCaps/>
          <w:sz w:val="22"/>
          <w:szCs w:val="22"/>
        </w:rPr>
        <w:t>Mari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Autorizzazioni preliminari e titoli abilitativi edilizi: il ruolo dello sportello unico</w:t>
      </w:r>
      <w:r w:rsidRPr="000920D5">
        <w:rPr>
          <w:rFonts w:ascii="Times New Roman" w:eastAsia="Times New Roman" w:hAnsi="Times New Roman" w:cs="Times New Roman"/>
          <w:bCs/>
          <w:sz w:val="22"/>
          <w:szCs w:val="22"/>
          <w:lang w:eastAsia="it-IT"/>
        </w:rPr>
        <w:t>, cit.), non senza muovere critiche, ritiene che l</w:t>
      </w:r>
      <w:r w:rsidRPr="000920D5">
        <w:rPr>
          <w:sz w:val="22"/>
          <w:szCs w:val="22"/>
        </w:rPr>
        <w:t>’art. 17-</w:t>
      </w:r>
      <w:r w:rsidRPr="000920D5">
        <w:rPr>
          <w:i/>
          <w:sz w:val="22"/>
          <w:szCs w:val="22"/>
        </w:rPr>
        <w:t>bis</w:t>
      </w:r>
      <w:r w:rsidRPr="000920D5">
        <w:rPr>
          <w:sz w:val="22"/>
          <w:szCs w:val="22"/>
        </w:rPr>
        <w:t xml:space="preserve"> ingloberebbe i pareri vincolanti (da ritenere esclusi dall’ambito di applicazione dell’art. 16 e inclusi nell’ampia nozione di assensi comunque denominati, cfr. V. </w:t>
      </w:r>
      <w:r w:rsidRPr="000920D5">
        <w:rPr>
          <w:rFonts w:ascii="Times New Roman" w:hAnsi="Times New Roman" w:cs="Times New Roman"/>
          <w:smallCaps/>
          <w:sz w:val="22"/>
          <w:szCs w:val="22"/>
        </w:rPr>
        <w:t>Parisio</w:t>
      </w:r>
      <w:r w:rsidRPr="000920D5">
        <w:rPr>
          <w:sz w:val="22"/>
          <w:szCs w:val="22"/>
        </w:rPr>
        <w:t xml:space="preserve">, </w:t>
      </w:r>
      <w:r w:rsidRPr="000920D5">
        <w:rPr>
          <w:i/>
          <w:sz w:val="22"/>
          <w:szCs w:val="22"/>
        </w:rPr>
        <w:t>L’attività consultiva</w:t>
      </w:r>
      <w:r w:rsidRPr="000920D5">
        <w:rPr>
          <w:sz w:val="22"/>
          <w:szCs w:val="22"/>
        </w:rPr>
        <w:t xml:space="preserve">, in M.A. </w:t>
      </w:r>
      <w:r w:rsidRPr="000920D5">
        <w:rPr>
          <w:rFonts w:ascii="Times New Roman" w:hAnsi="Times New Roman" w:cs="Times New Roman"/>
          <w:smallCaps/>
          <w:sz w:val="22"/>
          <w:szCs w:val="22"/>
        </w:rPr>
        <w:t>Sandulli</w:t>
      </w:r>
      <w:r w:rsidRPr="000920D5">
        <w:rPr>
          <w:sz w:val="22"/>
          <w:szCs w:val="22"/>
        </w:rPr>
        <w:t xml:space="preserve"> (a cura di) </w:t>
      </w:r>
      <w:r w:rsidRPr="000920D5">
        <w:rPr>
          <w:i/>
          <w:sz w:val="22"/>
          <w:szCs w:val="22"/>
        </w:rPr>
        <w:t>Codice dell’azione amministrativa</w:t>
      </w:r>
      <w:r w:rsidRPr="000920D5">
        <w:rPr>
          <w:sz w:val="22"/>
          <w:szCs w:val="22"/>
        </w:rPr>
        <w:t>, Milano, 2010 708 e TAR Veneto, Sez. II, 18 dicembre 2006, n. 4094) resi su uno schema di provvedimento (</w:t>
      </w:r>
      <w:r w:rsidRPr="000920D5">
        <w:rPr>
          <w:rFonts w:ascii="Times New Roman" w:hAnsi="Times New Roman" w:cs="Times New Roman"/>
          <w:sz w:val="22"/>
          <w:szCs w:val="22"/>
        </w:rPr>
        <w:t>cfr. Cons. St., Sez. VI, 26 marzo 2014, n. 1472, cit.</w:t>
      </w:r>
      <w:r w:rsidRPr="000920D5">
        <w:rPr>
          <w:rFonts w:ascii="Times New Roman" w:hAnsi="Times New Roman" w:cs="Times New Roman"/>
          <w:smallCaps/>
          <w:sz w:val="22"/>
          <w:szCs w:val="22"/>
        </w:rPr>
        <w:t>,</w:t>
      </w:r>
      <w:r w:rsidRPr="000920D5">
        <w:rPr>
          <w:rFonts w:ascii="Times New Roman" w:hAnsi="Times New Roman" w:cs="Times New Roman"/>
          <w:sz w:val="22"/>
          <w:szCs w:val="22"/>
        </w:rPr>
        <w:t xml:space="preserve"> che riconosce nel parere vincolante della soprintendenza un “</w:t>
      </w:r>
      <w:r w:rsidRPr="000920D5">
        <w:rPr>
          <w:rFonts w:ascii="Times New Roman" w:hAnsi="Times New Roman" w:cs="Times New Roman"/>
          <w:i/>
          <w:sz w:val="22"/>
          <w:szCs w:val="22"/>
          <w:shd w:val="clear" w:color="auto" w:fill="FFFFFF"/>
        </w:rPr>
        <w:t>potere sostanzialmente decisorio che si inserisce, pertanto, non nella fase dell'istruttoria ma in quella costitutiva</w:t>
      </w:r>
      <w:r w:rsidRPr="000920D5">
        <w:rPr>
          <w:rFonts w:ascii="Times New Roman" w:hAnsi="Times New Roman" w:cs="Times New Roman"/>
          <w:sz w:val="22"/>
          <w:szCs w:val="22"/>
          <w:shd w:val="clear" w:color="auto" w:fill="FFFFFF"/>
        </w:rPr>
        <w:t>”)</w:t>
      </w:r>
      <w:r w:rsidRPr="000920D5">
        <w:rPr>
          <w:sz w:val="22"/>
          <w:szCs w:val="22"/>
        </w:rPr>
        <w:t>.</w:t>
      </w:r>
    </w:p>
  </w:footnote>
  <w:footnote w:id="26">
    <w:p w14:paraId="64DFECD5" w14:textId="2F8513EF"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Il periodo successivo riguarda il caso in cui l'attività del privato sia subordinata a distinti atti di assenso, comunque denominati, di competenza di diverse amministrazioni pubbliche: in tal caso “la conferenza di servizi è convocata, anche su richiesta dell'interessato, da una delle amministrazioni competenti” (art. 14, co. 2 dello schema di decreto delegato).</w:t>
      </w:r>
    </w:p>
  </w:footnote>
  <w:footnote w:id="27">
    <w:p w14:paraId="68F83F94" w14:textId="4DC55F7C"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Cfr. p. 2 della relazione reperibile su http://www.governo.it/  in cui si legge “</w:t>
      </w:r>
      <w:r w:rsidRPr="000920D5">
        <w:rPr>
          <w:i/>
          <w:sz w:val="22"/>
          <w:szCs w:val="22"/>
        </w:rPr>
        <w:t>La formulazione della disposizione (che fa riferimento a “più atti di assenso”) chiarisce che, ove sia necessario un solo atto di assenso, si applica l’articolo 17-bis della stessa legge n. 241 del 1990</w:t>
      </w:r>
      <w:r w:rsidRPr="000920D5">
        <w:rPr>
          <w:sz w:val="22"/>
          <w:szCs w:val="22"/>
        </w:rPr>
        <w:t>”.</w:t>
      </w:r>
    </w:p>
  </w:footnote>
  <w:footnote w:id="28">
    <w:p w14:paraId="69387B8F" w14:textId="428EE523"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Il parere del Consiglio di Stato n. 890/2016, pubblicato nelle ore in cui si è tenuto il Convegno in cui è stato reso il presente Intervento, ha invitato il legislatore delegato a chiarire i rapporti fra l’art. 14, comma 2 (conferenza di servizi decisoria) e il nuovo articolo 17-</w:t>
      </w:r>
      <w:r w:rsidRPr="000920D5">
        <w:rPr>
          <w:i/>
          <w:sz w:val="22"/>
          <w:szCs w:val="22"/>
        </w:rPr>
        <w:t>bis</w:t>
      </w:r>
      <w:r w:rsidRPr="000920D5">
        <w:rPr>
          <w:sz w:val="22"/>
          <w:szCs w:val="22"/>
        </w:rPr>
        <w:t xml:space="preserve"> “</w:t>
      </w:r>
      <w:r w:rsidRPr="000920D5">
        <w:rPr>
          <w:i/>
          <w:sz w:val="22"/>
          <w:szCs w:val="22"/>
        </w:rPr>
        <w:t xml:space="preserve">il quale risulta a propria volta finalizzato ad acquisire secondo una particolare modalità ulteriormente semplificata </w:t>
      </w:r>
      <w:r w:rsidRPr="000920D5">
        <w:rPr>
          <w:sz w:val="22"/>
          <w:szCs w:val="22"/>
        </w:rPr>
        <w:t>per silentium</w:t>
      </w:r>
      <w:r w:rsidRPr="000920D5">
        <w:rPr>
          <w:i/>
          <w:sz w:val="22"/>
          <w:szCs w:val="22"/>
        </w:rPr>
        <w:t xml:space="preserve"> i medesimi atti di assenso</w:t>
      </w:r>
      <w:r w:rsidRPr="000920D5">
        <w:rPr>
          <w:sz w:val="22"/>
          <w:szCs w:val="22"/>
        </w:rPr>
        <w:t>” (p. 46). Parte della dottrina (</w:t>
      </w:r>
      <w:r w:rsidRPr="000920D5">
        <w:rPr>
          <w:rFonts w:ascii="Times New Roman" w:hAnsi="Times New Roman" w:cs="Times New Roman"/>
          <w:sz w:val="22"/>
          <w:szCs w:val="22"/>
        </w:rPr>
        <w:t xml:space="preserve">G. </w:t>
      </w:r>
      <w:r w:rsidRPr="000920D5">
        <w:rPr>
          <w:rFonts w:ascii="Times New Roman" w:hAnsi="Times New Roman" w:cs="Times New Roman"/>
          <w:smallCaps/>
          <w:sz w:val="22"/>
          <w:szCs w:val="22"/>
        </w:rPr>
        <w:t>Mari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La rilevanza della disciplina del silenzio assenso tra amministrazioni pubbliche nei procedimenti relativi ai titoli abilitativi edilizi</w:t>
      </w:r>
      <w:r w:rsidRPr="000920D5">
        <w:rPr>
          <w:rFonts w:ascii="Times New Roman" w:eastAsia="Times New Roman" w:hAnsi="Times New Roman" w:cs="Times New Roman"/>
          <w:sz w:val="22"/>
          <w:szCs w:val="22"/>
          <w:lang w:eastAsia="it-IT"/>
        </w:rPr>
        <w:t xml:space="preserve">, cit.), che pure riconosce una </w:t>
      </w:r>
      <w:r w:rsidRPr="000920D5">
        <w:rPr>
          <w:rFonts w:ascii="Times New Roman" w:eastAsia="Times New Roman" w:hAnsi="Times New Roman" w:cs="Times New Roman"/>
          <w:bCs/>
          <w:sz w:val="22"/>
          <w:szCs w:val="22"/>
          <w:lang w:eastAsia="it-IT"/>
        </w:rPr>
        <w:t>sovrapponibilità tra l’art. 17-</w:t>
      </w:r>
      <w:r w:rsidRPr="000920D5">
        <w:rPr>
          <w:rFonts w:ascii="Times New Roman" w:eastAsia="Times New Roman" w:hAnsi="Times New Roman" w:cs="Times New Roman"/>
          <w:bCs/>
          <w:i/>
          <w:sz w:val="22"/>
          <w:szCs w:val="22"/>
          <w:lang w:eastAsia="it-IT"/>
        </w:rPr>
        <w:t>bis</w:t>
      </w:r>
      <w:r w:rsidRPr="000920D5">
        <w:rPr>
          <w:rFonts w:ascii="Times New Roman" w:eastAsia="Times New Roman" w:hAnsi="Times New Roman" w:cs="Times New Roman"/>
          <w:bCs/>
          <w:sz w:val="22"/>
          <w:szCs w:val="22"/>
          <w:lang w:eastAsia="it-IT"/>
        </w:rPr>
        <w:t xml:space="preserve"> e la vigente versione dell’art. 14, co. 2, l. n. 241/1990 nelle ipotesi di conferenza di servizi uni-procedimentale, vale a dire nelle ipotesi in cui vi sia una sola amministrazione procedente e le altre pp.AA. convocate non siano chiamate a svolgere una competenza di amministrazione attiva (finalizzata, cioè, all’emanazione di un provvedimento), si avvale della logica dell’alternatività tra conferenza di servizi e silenzio assenso (e non del dato letterale valorizzato nel testo) per escludere la potenziale interferenza</w:t>
      </w:r>
      <w:r w:rsidR="000D6B31">
        <w:rPr>
          <w:rFonts w:ascii="Times New Roman" w:eastAsia="Times New Roman" w:hAnsi="Times New Roman" w:cs="Times New Roman"/>
          <w:bCs/>
          <w:sz w:val="22"/>
          <w:szCs w:val="22"/>
          <w:lang w:eastAsia="it-IT"/>
        </w:rPr>
        <w:t xml:space="preserve"> tra gli istituti</w:t>
      </w:r>
      <w:r w:rsidRPr="000920D5">
        <w:rPr>
          <w:rFonts w:ascii="Times New Roman" w:eastAsia="Times New Roman" w:hAnsi="Times New Roman" w:cs="Times New Roman"/>
          <w:bCs/>
          <w:sz w:val="22"/>
          <w:szCs w:val="22"/>
          <w:lang w:eastAsia="it-IT"/>
        </w:rPr>
        <w:t>.</w:t>
      </w:r>
    </w:p>
  </w:footnote>
  <w:footnote w:id="29">
    <w:p w14:paraId="4D9B67F9" w14:textId="4CF6E315"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Cfr. </w:t>
      </w:r>
      <w:r w:rsidRPr="000920D5">
        <w:rPr>
          <w:rFonts w:ascii="Times New Roman" w:hAnsi="Times New Roman" w:cs="Times New Roman"/>
          <w:sz w:val="22"/>
          <w:szCs w:val="22"/>
        </w:rPr>
        <w:t xml:space="preserve">B.E. </w:t>
      </w:r>
      <w:r w:rsidRPr="000920D5">
        <w:rPr>
          <w:rFonts w:ascii="Times New Roman" w:hAnsi="Times New Roman" w:cs="Times New Roman"/>
          <w:smallCaps/>
          <w:sz w:val="22"/>
          <w:szCs w:val="22"/>
        </w:rPr>
        <w:t>Tonoletti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della Pubblica Amministrazione</w:t>
      </w:r>
      <w:r w:rsidRPr="000920D5">
        <w:rPr>
          <w:rFonts w:ascii="Times New Roman" w:hAnsi="Times New Roman" w:cs="Times New Roman"/>
          <w:sz w:val="22"/>
          <w:szCs w:val="22"/>
        </w:rPr>
        <w:t>, cit., 176 ss..</w:t>
      </w:r>
    </w:p>
  </w:footnote>
  <w:footnote w:id="30">
    <w:p w14:paraId="662D7A5A" w14:textId="7319C9F9"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E</w:t>
      </w:r>
      <w:r w:rsidRPr="000920D5">
        <w:rPr>
          <w:rFonts w:ascii="Times New Roman" w:hAnsi="Times New Roman" w:cs="Times New Roman"/>
          <w:sz w:val="22"/>
          <w:szCs w:val="22"/>
        </w:rPr>
        <w:t xml:space="preserve">. </w:t>
      </w:r>
      <w:r w:rsidRPr="000920D5">
        <w:rPr>
          <w:rFonts w:ascii="Times New Roman" w:hAnsi="Times New Roman" w:cs="Times New Roman"/>
          <w:smallCaps/>
          <w:sz w:val="22"/>
          <w:szCs w:val="22"/>
        </w:rPr>
        <w:t>Scotti</w:t>
      </w:r>
      <w:r w:rsidRPr="000920D5">
        <w:rPr>
          <w:rFonts w:ascii="Times New Roman" w:hAnsi="Times New Roman" w:cs="Times New Roman"/>
          <w:sz w:val="22"/>
          <w:szCs w:val="22"/>
        </w:rPr>
        <w:t xml:space="preserve">, </w:t>
      </w:r>
      <w:r w:rsidRPr="000920D5">
        <w:rPr>
          <w:rFonts w:ascii="Times New Roman" w:hAnsi="Times New Roman" w:cs="Times New Roman"/>
          <w:i/>
          <w:sz w:val="22"/>
          <w:szCs w:val="22"/>
        </w:rPr>
        <w:t>Silenzio assenso</w:t>
      </w:r>
      <w:r w:rsidRPr="000920D5">
        <w:rPr>
          <w:rFonts w:ascii="Times New Roman" w:hAnsi="Times New Roman" w:cs="Times New Roman"/>
          <w:sz w:val="22"/>
          <w:szCs w:val="22"/>
        </w:rPr>
        <w:t xml:space="preserve">, in A. </w:t>
      </w:r>
      <w:r w:rsidRPr="000920D5">
        <w:rPr>
          <w:rFonts w:ascii="Times New Roman" w:hAnsi="Times New Roman" w:cs="Times New Roman"/>
          <w:smallCaps/>
          <w:sz w:val="22"/>
          <w:szCs w:val="22"/>
        </w:rPr>
        <w:t>Romano</w:t>
      </w:r>
      <w:r w:rsidRPr="000920D5">
        <w:rPr>
          <w:rFonts w:ascii="Times New Roman" w:hAnsi="Times New Roman" w:cs="Times New Roman"/>
          <w:sz w:val="22"/>
          <w:szCs w:val="22"/>
        </w:rPr>
        <w:t xml:space="preserve"> (a cura di), </w:t>
      </w:r>
      <w:r w:rsidRPr="000920D5">
        <w:rPr>
          <w:rFonts w:ascii="Times New Roman" w:hAnsi="Times New Roman" w:cs="Times New Roman"/>
          <w:i/>
          <w:sz w:val="22"/>
          <w:szCs w:val="22"/>
        </w:rPr>
        <w:t>L’azione amministrativa</w:t>
      </w:r>
      <w:r w:rsidRPr="000920D5">
        <w:rPr>
          <w:rFonts w:ascii="Times New Roman" w:hAnsi="Times New Roman" w:cs="Times New Roman"/>
          <w:sz w:val="22"/>
          <w:szCs w:val="22"/>
        </w:rPr>
        <w:t>, cit., 570.</w:t>
      </w:r>
    </w:p>
  </w:footnote>
  <w:footnote w:id="31">
    <w:p w14:paraId="1A92166E" w14:textId="5ACBCE9F"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Sulla illegittimità dell’art. 16, comma 4, della l. 179/1992 per la parte in cui prevedeva la formazione del silenzio assenso della Regione sullo strumento urbanistico programma integrato di intervento.</w:t>
      </w:r>
    </w:p>
  </w:footnote>
  <w:footnote w:id="32">
    <w:p w14:paraId="42F50871" w14:textId="6FE7C258"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Sull’incompatibilità costituzionale del silenzio assenso sul parere regionale necessario per la sanatoria di abusi edilizi realizzati in aree sottoposte a vincolo paesaggistico di cui all’art. 12 del d.l. 12 gennaio 1988, n. 2.</w:t>
      </w:r>
    </w:p>
  </w:footnote>
  <w:footnote w:id="33">
    <w:p w14:paraId="0753A2C7" w14:textId="0DF55761"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In cui la Corte, pronunciandosi sulla l.r. Campania, avente per oggetto: "</w:t>
      </w:r>
      <w:r w:rsidRPr="000920D5">
        <w:rPr>
          <w:i/>
          <w:sz w:val="22"/>
          <w:szCs w:val="22"/>
        </w:rPr>
        <w:t>Programmi integrati di riqualificazione urbanistica, edilizia e ambientale in attuazione della legge 17 febbraio 1992 n. 179</w:t>
      </w:r>
      <w:r w:rsidRPr="000920D5">
        <w:rPr>
          <w:sz w:val="22"/>
          <w:szCs w:val="22"/>
        </w:rPr>
        <w:t>", ne ha dichiarato l’illegittimità costituzionale per violazione dell’art. 117 Cost. nella parte in cui nella parte in cui prevedeva che, nel caso dell'inutile decorso del termine di centoventi giorni concesso alla regione per l'approvazione del programma integrato non conforme, questo si considerava approvato.  La Consulta, illustrando gli effetti del proprio precedente (sent. n. 393 del 1992), ha chiarito che “</w:t>
      </w:r>
      <w:r w:rsidRPr="000920D5">
        <w:rPr>
          <w:i/>
          <w:sz w:val="22"/>
          <w:szCs w:val="22"/>
        </w:rPr>
        <w:t>Il venir meno nella normativa statale della previsione del silenzio-assenso per effetto di detta sentenza e le implicazioni che possono desumersi da essa denotano attualmente l'esistenza nella legge statale, specifica per la materia, di un principio fondamentale opposto, che ritiene indispensabile una valutazione esplicita da parte degli organi regionali nei procedimenti che necessitano del "diversificato contributo degli organi e uffici competenti" coinvolti nella procedura</w:t>
      </w:r>
      <w:r w:rsidRPr="000920D5">
        <w:rPr>
          <w:sz w:val="22"/>
          <w:szCs w:val="22"/>
        </w:rPr>
        <w:t>” (C. cost., 27 luglio 1995, n. 408).</w:t>
      </w:r>
    </w:p>
  </w:footnote>
  <w:footnote w:id="34">
    <w:p w14:paraId="4E2DEB65" w14:textId="166B9F67" w:rsidR="00623C5B" w:rsidRPr="000920D5" w:rsidRDefault="00623C5B" w:rsidP="000920D5">
      <w:pPr>
        <w:pStyle w:val="Testonotaapidipagina"/>
        <w:jc w:val="both"/>
        <w:rPr>
          <w:sz w:val="22"/>
          <w:szCs w:val="22"/>
        </w:rPr>
      </w:pPr>
      <w:r w:rsidRPr="000920D5">
        <w:rPr>
          <w:rStyle w:val="Rimandonotaapidipagina"/>
          <w:sz w:val="22"/>
          <w:szCs w:val="22"/>
        </w:rPr>
        <w:footnoteRef/>
      </w:r>
      <w:r w:rsidRPr="000920D5">
        <w:rPr>
          <w:sz w:val="22"/>
          <w:szCs w:val="22"/>
        </w:rPr>
        <w:t xml:space="preserve"> In particolare la Plenaria, muovendo dalla constatazione dell’assenza di una disposizione analoga all’26, co. 2, l. T.A.R. (1034/1971) nel Codice del processo amministrativo, ha affermato che certa lettura dell’art. 34, co. 2, c.p.a., secondo cui “</w:t>
      </w:r>
      <w:r w:rsidRPr="000920D5">
        <w:rPr>
          <w:i/>
          <w:sz w:val="22"/>
          <w:szCs w:val="22"/>
        </w:rPr>
        <w:t>in nessun caso il giudice può pronunciare con riferimento a poteri amministrativi non ancora esercitati</w:t>
      </w:r>
      <w:r w:rsidRPr="000920D5">
        <w:rPr>
          <w:sz w:val="22"/>
          <w:szCs w:val="22"/>
        </w:rPr>
        <w:t xml:space="preserve">”, precluderebbe al g.a., una volta rilevato il vizio di incompetenza, di procedere nell’esame delle censure mosse contro il provvedimento (sul punto sia consentito rinviare a </w:t>
      </w:r>
      <w:r w:rsidRPr="000920D5">
        <w:rPr>
          <w:smallCaps/>
          <w:sz w:val="22"/>
          <w:szCs w:val="22"/>
        </w:rPr>
        <w:t>F. Aperio Bella</w:t>
      </w:r>
      <w:r w:rsidRPr="000920D5">
        <w:rPr>
          <w:sz w:val="22"/>
          <w:szCs w:val="22"/>
        </w:rPr>
        <w:t xml:space="preserve">, </w:t>
      </w:r>
      <w:r w:rsidRPr="000920D5">
        <w:rPr>
          <w:i/>
          <w:sz w:val="22"/>
          <w:szCs w:val="22"/>
        </w:rPr>
        <w:t>Sull’ordine di esame e sui limiti all’assorbimento dei motivi di ricorso</w:t>
      </w:r>
      <w:r w:rsidRPr="000920D5">
        <w:rPr>
          <w:sz w:val="22"/>
          <w:szCs w:val="22"/>
        </w:rPr>
        <w:t xml:space="preserve">, in S. </w:t>
      </w:r>
      <w:r w:rsidRPr="000920D5">
        <w:rPr>
          <w:smallCaps/>
          <w:sz w:val="22"/>
          <w:szCs w:val="22"/>
        </w:rPr>
        <w:t>Toschei</w:t>
      </w:r>
      <w:r w:rsidRPr="000920D5">
        <w:rPr>
          <w:sz w:val="22"/>
          <w:szCs w:val="22"/>
        </w:rPr>
        <w:t xml:space="preserve"> (a cura di) </w:t>
      </w:r>
      <w:r w:rsidRPr="000920D5">
        <w:rPr>
          <w:i/>
          <w:sz w:val="22"/>
          <w:szCs w:val="22"/>
        </w:rPr>
        <w:t>L’attività nomofilattica del Consiglio di Stato</w:t>
      </w:r>
      <w:r w:rsidRPr="000920D5">
        <w:rPr>
          <w:sz w:val="22"/>
          <w:szCs w:val="22"/>
        </w:rPr>
        <w:t>, Roma, 2016, in corso di pubblicazione).</w:t>
      </w:r>
    </w:p>
  </w:footnote>
  <w:footnote w:id="35">
    <w:p w14:paraId="7B44B6D4" w14:textId="1CFCB920" w:rsidR="00623C5B" w:rsidRPr="000920D5" w:rsidRDefault="00623C5B" w:rsidP="000920D5">
      <w:pPr>
        <w:jc w:val="both"/>
        <w:rPr>
          <w:rFonts w:ascii="Times New Roman" w:hAnsi="Times New Roman" w:cs="Times New Roman"/>
          <w:sz w:val="22"/>
          <w:szCs w:val="22"/>
        </w:rPr>
      </w:pPr>
      <w:r w:rsidRPr="000920D5">
        <w:rPr>
          <w:rStyle w:val="Rimandonotaapidipagina"/>
          <w:sz w:val="22"/>
          <w:szCs w:val="22"/>
        </w:rPr>
        <w:footnoteRef/>
      </w:r>
      <w:r w:rsidRPr="000920D5">
        <w:rPr>
          <w:sz w:val="22"/>
          <w:szCs w:val="22"/>
        </w:rPr>
        <w:t xml:space="preserve"> La lettura restrittiva della disposizione proposta nel testo scongiurerebbe tale rischio. Per un verso, anche a voler aderire alla tesi che ritiene applicabile il nuovo istituto ai pareri vincolanti, per ciò che riconducibili alla categoria degli “</w:t>
      </w:r>
      <w:r w:rsidRPr="000920D5">
        <w:rPr>
          <w:i/>
          <w:sz w:val="22"/>
          <w:szCs w:val="22"/>
        </w:rPr>
        <w:t>assensi comunque denominati</w:t>
      </w:r>
      <w:r w:rsidRPr="000920D5">
        <w:rPr>
          <w:sz w:val="22"/>
          <w:szCs w:val="22"/>
        </w:rPr>
        <w:t xml:space="preserve">” (su cui cfr. </w:t>
      </w:r>
      <w:r w:rsidRPr="00BF024B">
        <w:rPr>
          <w:i/>
          <w:sz w:val="22"/>
          <w:szCs w:val="22"/>
        </w:rPr>
        <w:t>supra</w:t>
      </w:r>
      <w:r w:rsidRPr="00BF024B">
        <w:rPr>
          <w:sz w:val="22"/>
          <w:szCs w:val="22"/>
        </w:rPr>
        <w:t xml:space="preserve"> nota 25</w:t>
      </w:r>
      <w:r w:rsidRPr="000920D5">
        <w:rPr>
          <w:sz w:val="22"/>
          <w:szCs w:val="22"/>
        </w:rPr>
        <w:t xml:space="preserve">), comunque il nuovo istituto non si applicherebbe a quelli obbligatori.  </w:t>
      </w:r>
      <w:r w:rsidRPr="000920D5">
        <w:rPr>
          <w:rFonts w:eastAsia="Times New Roman" w:cs="Times New Roman"/>
          <w:sz w:val="22"/>
          <w:szCs w:val="22"/>
        </w:rPr>
        <w:t>Per l’altro verso il silenzio che ci occupa è ontologicamente incompatibile con diversi meccanismi di silenzio “procedimentale” tipici della fase istruttoria, distinguendosi tanto dal silenzio facoltativo ex art. 16 l. 241/1990 (ricorrente in tutte le ipotesi in cui l’esercizio di una particolare competenza, durante un procedimento amministrativo, sia previsto come meramente facoltativo, per cui trascorso inutilmente il termine previsto per l’esercizio di esso può procedere al compimento degli atti successivi senza ulteriore attesa e senza pregiudizi per gli effetti finali); quanto dal silenzio devolutivo ex art. 17 l. 241/1990 (ricorrente quando il silenzio di una p.A. comporta l’attribuzione della competenza ad altra autorità).</w:t>
      </w:r>
      <w:r w:rsidRPr="000920D5">
        <w:rPr>
          <w:rFonts w:ascii="Times New Roman" w:hAnsi="Times New Roman"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CC"/>
    <w:rsid w:val="000202C3"/>
    <w:rsid w:val="0002118D"/>
    <w:rsid w:val="00022F59"/>
    <w:rsid w:val="00024E71"/>
    <w:rsid w:val="0003023D"/>
    <w:rsid w:val="00032D8E"/>
    <w:rsid w:val="00043F92"/>
    <w:rsid w:val="0004739B"/>
    <w:rsid w:val="00061500"/>
    <w:rsid w:val="000653B9"/>
    <w:rsid w:val="0007048E"/>
    <w:rsid w:val="00082D07"/>
    <w:rsid w:val="0008572C"/>
    <w:rsid w:val="00086DB4"/>
    <w:rsid w:val="00087284"/>
    <w:rsid w:val="000920D5"/>
    <w:rsid w:val="000A3642"/>
    <w:rsid w:val="000B4143"/>
    <w:rsid w:val="000B6A29"/>
    <w:rsid w:val="000C1720"/>
    <w:rsid w:val="000C323C"/>
    <w:rsid w:val="000D6B31"/>
    <w:rsid w:val="000E4AB5"/>
    <w:rsid w:val="000E531A"/>
    <w:rsid w:val="000F2061"/>
    <w:rsid w:val="000F6C18"/>
    <w:rsid w:val="001031BF"/>
    <w:rsid w:val="00105208"/>
    <w:rsid w:val="00105E5A"/>
    <w:rsid w:val="00111403"/>
    <w:rsid w:val="00122CA6"/>
    <w:rsid w:val="0013179E"/>
    <w:rsid w:val="0013392B"/>
    <w:rsid w:val="001359FB"/>
    <w:rsid w:val="00140BC6"/>
    <w:rsid w:val="00144F1A"/>
    <w:rsid w:val="00174DA0"/>
    <w:rsid w:val="0017564B"/>
    <w:rsid w:val="00176759"/>
    <w:rsid w:val="00183807"/>
    <w:rsid w:val="00184564"/>
    <w:rsid w:val="0019691B"/>
    <w:rsid w:val="001B4854"/>
    <w:rsid w:val="001C03BF"/>
    <w:rsid w:val="001D6911"/>
    <w:rsid w:val="001E18CC"/>
    <w:rsid w:val="001E460F"/>
    <w:rsid w:val="001E5D8B"/>
    <w:rsid w:val="001E72C8"/>
    <w:rsid w:val="001E73B5"/>
    <w:rsid w:val="001F25D7"/>
    <w:rsid w:val="001F709A"/>
    <w:rsid w:val="00210334"/>
    <w:rsid w:val="0021457A"/>
    <w:rsid w:val="002148CE"/>
    <w:rsid w:val="00216ED3"/>
    <w:rsid w:val="00217046"/>
    <w:rsid w:val="00223171"/>
    <w:rsid w:val="00232F75"/>
    <w:rsid w:val="002337FA"/>
    <w:rsid w:val="00234FB9"/>
    <w:rsid w:val="00245A12"/>
    <w:rsid w:val="00253122"/>
    <w:rsid w:val="00266D48"/>
    <w:rsid w:val="00266EF9"/>
    <w:rsid w:val="00282501"/>
    <w:rsid w:val="002946A4"/>
    <w:rsid w:val="002A1D9B"/>
    <w:rsid w:val="002B1AA2"/>
    <w:rsid w:val="002B2A4A"/>
    <w:rsid w:val="002C410A"/>
    <w:rsid w:val="002C5CE6"/>
    <w:rsid w:val="002C7432"/>
    <w:rsid w:val="002D4FDE"/>
    <w:rsid w:val="002E0956"/>
    <w:rsid w:val="00305067"/>
    <w:rsid w:val="00313D29"/>
    <w:rsid w:val="003235E0"/>
    <w:rsid w:val="0033018B"/>
    <w:rsid w:val="0033428B"/>
    <w:rsid w:val="003410B1"/>
    <w:rsid w:val="003415C6"/>
    <w:rsid w:val="00343786"/>
    <w:rsid w:val="00345008"/>
    <w:rsid w:val="003451D2"/>
    <w:rsid w:val="003509A0"/>
    <w:rsid w:val="003524B2"/>
    <w:rsid w:val="003548A4"/>
    <w:rsid w:val="00355500"/>
    <w:rsid w:val="00376320"/>
    <w:rsid w:val="003A3583"/>
    <w:rsid w:val="003A6060"/>
    <w:rsid w:val="003B0B1B"/>
    <w:rsid w:val="003B286C"/>
    <w:rsid w:val="003B4D4B"/>
    <w:rsid w:val="003B4FD2"/>
    <w:rsid w:val="003B7AF2"/>
    <w:rsid w:val="003C504B"/>
    <w:rsid w:val="003C52BB"/>
    <w:rsid w:val="003D58AF"/>
    <w:rsid w:val="003E24CE"/>
    <w:rsid w:val="003E7CD8"/>
    <w:rsid w:val="003F1F9B"/>
    <w:rsid w:val="00404594"/>
    <w:rsid w:val="00407453"/>
    <w:rsid w:val="0041119E"/>
    <w:rsid w:val="0042531C"/>
    <w:rsid w:val="00446560"/>
    <w:rsid w:val="00454445"/>
    <w:rsid w:val="00456E6F"/>
    <w:rsid w:val="004632F9"/>
    <w:rsid w:val="0046352E"/>
    <w:rsid w:val="00466250"/>
    <w:rsid w:val="00476BED"/>
    <w:rsid w:val="004A041C"/>
    <w:rsid w:val="004B1B3D"/>
    <w:rsid w:val="004C5D45"/>
    <w:rsid w:val="004C6FE4"/>
    <w:rsid w:val="004D13A5"/>
    <w:rsid w:val="004E3872"/>
    <w:rsid w:val="004E38B0"/>
    <w:rsid w:val="004E432C"/>
    <w:rsid w:val="004E669B"/>
    <w:rsid w:val="004F580B"/>
    <w:rsid w:val="005160B6"/>
    <w:rsid w:val="005174ED"/>
    <w:rsid w:val="0052052A"/>
    <w:rsid w:val="00522668"/>
    <w:rsid w:val="00543792"/>
    <w:rsid w:val="0054433B"/>
    <w:rsid w:val="00546B82"/>
    <w:rsid w:val="00553016"/>
    <w:rsid w:val="005541F7"/>
    <w:rsid w:val="00555684"/>
    <w:rsid w:val="005566D7"/>
    <w:rsid w:val="00561A45"/>
    <w:rsid w:val="0056706F"/>
    <w:rsid w:val="00575DF9"/>
    <w:rsid w:val="00577FE0"/>
    <w:rsid w:val="005A166F"/>
    <w:rsid w:val="005A3FB1"/>
    <w:rsid w:val="005A79F7"/>
    <w:rsid w:val="005C358E"/>
    <w:rsid w:val="005C634A"/>
    <w:rsid w:val="005D1343"/>
    <w:rsid w:val="005D14F9"/>
    <w:rsid w:val="005D4431"/>
    <w:rsid w:val="005E13F0"/>
    <w:rsid w:val="005E4CD1"/>
    <w:rsid w:val="005E7351"/>
    <w:rsid w:val="005F127F"/>
    <w:rsid w:val="005F1F79"/>
    <w:rsid w:val="0061196B"/>
    <w:rsid w:val="00613A28"/>
    <w:rsid w:val="00623C5B"/>
    <w:rsid w:val="00626523"/>
    <w:rsid w:val="00636942"/>
    <w:rsid w:val="00651DBB"/>
    <w:rsid w:val="0065454B"/>
    <w:rsid w:val="00695D90"/>
    <w:rsid w:val="006A14ED"/>
    <w:rsid w:val="006B483B"/>
    <w:rsid w:val="006C51A9"/>
    <w:rsid w:val="006D18A7"/>
    <w:rsid w:val="006D1F23"/>
    <w:rsid w:val="006F3579"/>
    <w:rsid w:val="00707303"/>
    <w:rsid w:val="00707415"/>
    <w:rsid w:val="007139E1"/>
    <w:rsid w:val="00714DB0"/>
    <w:rsid w:val="00721822"/>
    <w:rsid w:val="00725389"/>
    <w:rsid w:val="00725496"/>
    <w:rsid w:val="0073061C"/>
    <w:rsid w:val="00735256"/>
    <w:rsid w:val="007360ED"/>
    <w:rsid w:val="00740068"/>
    <w:rsid w:val="00744DB6"/>
    <w:rsid w:val="00762464"/>
    <w:rsid w:val="007670A6"/>
    <w:rsid w:val="00767AD9"/>
    <w:rsid w:val="00774594"/>
    <w:rsid w:val="007A3F6C"/>
    <w:rsid w:val="007B030F"/>
    <w:rsid w:val="007B1F6A"/>
    <w:rsid w:val="007B48B4"/>
    <w:rsid w:val="007F311E"/>
    <w:rsid w:val="007F510B"/>
    <w:rsid w:val="007F57E6"/>
    <w:rsid w:val="0080007A"/>
    <w:rsid w:val="00800184"/>
    <w:rsid w:val="00821793"/>
    <w:rsid w:val="00822A3D"/>
    <w:rsid w:val="00837784"/>
    <w:rsid w:val="0084457A"/>
    <w:rsid w:val="00846805"/>
    <w:rsid w:val="00860EE9"/>
    <w:rsid w:val="00874200"/>
    <w:rsid w:val="00876846"/>
    <w:rsid w:val="00876E25"/>
    <w:rsid w:val="0087748C"/>
    <w:rsid w:val="00881860"/>
    <w:rsid w:val="00884F5B"/>
    <w:rsid w:val="008B16D5"/>
    <w:rsid w:val="008C4A59"/>
    <w:rsid w:val="008C6ADD"/>
    <w:rsid w:val="008D51B4"/>
    <w:rsid w:val="008E4FCD"/>
    <w:rsid w:val="008E72B3"/>
    <w:rsid w:val="008F0966"/>
    <w:rsid w:val="008F4BEC"/>
    <w:rsid w:val="0091710B"/>
    <w:rsid w:val="009226C4"/>
    <w:rsid w:val="009332B3"/>
    <w:rsid w:val="0093699F"/>
    <w:rsid w:val="00956445"/>
    <w:rsid w:val="009705D8"/>
    <w:rsid w:val="00970667"/>
    <w:rsid w:val="0098057A"/>
    <w:rsid w:val="00991CFA"/>
    <w:rsid w:val="0099261D"/>
    <w:rsid w:val="009A701F"/>
    <w:rsid w:val="009B4AA2"/>
    <w:rsid w:val="009C6475"/>
    <w:rsid w:val="009D74E6"/>
    <w:rsid w:val="009F5D5E"/>
    <w:rsid w:val="00A103F1"/>
    <w:rsid w:val="00A20485"/>
    <w:rsid w:val="00A25351"/>
    <w:rsid w:val="00A32604"/>
    <w:rsid w:val="00A34078"/>
    <w:rsid w:val="00A34CF1"/>
    <w:rsid w:val="00A36A58"/>
    <w:rsid w:val="00A36E55"/>
    <w:rsid w:val="00A440D5"/>
    <w:rsid w:val="00A64CF0"/>
    <w:rsid w:val="00A65AFF"/>
    <w:rsid w:val="00A71F14"/>
    <w:rsid w:val="00A74AB3"/>
    <w:rsid w:val="00A8382E"/>
    <w:rsid w:val="00A85402"/>
    <w:rsid w:val="00A96E70"/>
    <w:rsid w:val="00AA0A1D"/>
    <w:rsid w:val="00AA28B9"/>
    <w:rsid w:val="00AA651F"/>
    <w:rsid w:val="00AB4D54"/>
    <w:rsid w:val="00AB7749"/>
    <w:rsid w:val="00AC2F7F"/>
    <w:rsid w:val="00AC4BDF"/>
    <w:rsid w:val="00AC652B"/>
    <w:rsid w:val="00AE029D"/>
    <w:rsid w:val="00AE7DB2"/>
    <w:rsid w:val="00B13D96"/>
    <w:rsid w:val="00B14B5A"/>
    <w:rsid w:val="00B20436"/>
    <w:rsid w:val="00B2124D"/>
    <w:rsid w:val="00B43C55"/>
    <w:rsid w:val="00B52279"/>
    <w:rsid w:val="00B6454B"/>
    <w:rsid w:val="00B80445"/>
    <w:rsid w:val="00B82A6A"/>
    <w:rsid w:val="00B83B80"/>
    <w:rsid w:val="00B95B89"/>
    <w:rsid w:val="00BC1296"/>
    <w:rsid w:val="00BE1919"/>
    <w:rsid w:val="00BF024B"/>
    <w:rsid w:val="00BF1AE5"/>
    <w:rsid w:val="00BF360D"/>
    <w:rsid w:val="00BF5D42"/>
    <w:rsid w:val="00BF7B6B"/>
    <w:rsid w:val="00C03829"/>
    <w:rsid w:val="00C146D6"/>
    <w:rsid w:val="00C159B4"/>
    <w:rsid w:val="00C2019E"/>
    <w:rsid w:val="00C356EE"/>
    <w:rsid w:val="00C37AD4"/>
    <w:rsid w:val="00C4258F"/>
    <w:rsid w:val="00C43233"/>
    <w:rsid w:val="00C46E17"/>
    <w:rsid w:val="00C5086F"/>
    <w:rsid w:val="00C52728"/>
    <w:rsid w:val="00C55F01"/>
    <w:rsid w:val="00C6404F"/>
    <w:rsid w:val="00C74ACB"/>
    <w:rsid w:val="00C80674"/>
    <w:rsid w:val="00C82EE5"/>
    <w:rsid w:val="00C95126"/>
    <w:rsid w:val="00C973CF"/>
    <w:rsid w:val="00CA1740"/>
    <w:rsid w:val="00CA7ECE"/>
    <w:rsid w:val="00CB2B32"/>
    <w:rsid w:val="00CC56D8"/>
    <w:rsid w:val="00CD0C1E"/>
    <w:rsid w:val="00CE1238"/>
    <w:rsid w:val="00CE70BC"/>
    <w:rsid w:val="00CE7185"/>
    <w:rsid w:val="00D27337"/>
    <w:rsid w:val="00D37A19"/>
    <w:rsid w:val="00D52ACF"/>
    <w:rsid w:val="00D622F6"/>
    <w:rsid w:val="00D6315D"/>
    <w:rsid w:val="00D652C5"/>
    <w:rsid w:val="00D81AB1"/>
    <w:rsid w:val="00D94CDC"/>
    <w:rsid w:val="00D962AD"/>
    <w:rsid w:val="00DC3291"/>
    <w:rsid w:val="00DC5716"/>
    <w:rsid w:val="00DC5A17"/>
    <w:rsid w:val="00DC626E"/>
    <w:rsid w:val="00DD7E30"/>
    <w:rsid w:val="00DE4617"/>
    <w:rsid w:val="00DF5965"/>
    <w:rsid w:val="00E05C1F"/>
    <w:rsid w:val="00E05C27"/>
    <w:rsid w:val="00E07FAF"/>
    <w:rsid w:val="00E1088B"/>
    <w:rsid w:val="00E1666E"/>
    <w:rsid w:val="00E30A41"/>
    <w:rsid w:val="00E3323A"/>
    <w:rsid w:val="00E4461C"/>
    <w:rsid w:val="00E44853"/>
    <w:rsid w:val="00E52471"/>
    <w:rsid w:val="00E5597D"/>
    <w:rsid w:val="00E55CF8"/>
    <w:rsid w:val="00E57992"/>
    <w:rsid w:val="00E647E8"/>
    <w:rsid w:val="00E72CB7"/>
    <w:rsid w:val="00E904CA"/>
    <w:rsid w:val="00E90AB6"/>
    <w:rsid w:val="00E94B2B"/>
    <w:rsid w:val="00E96148"/>
    <w:rsid w:val="00EC3951"/>
    <w:rsid w:val="00ED0EF9"/>
    <w:rsid w:val="00ED1596"/>
    <w:rsid w:val="00ED38B8"/>
    <w:rsid w:val="00EF3F31"/>
    <w:rsid w:val="00EF52B2"/>
    <w:rsid w:val="00F04E8D"/>
    <w:rsid w:val="00F1049D"/>
    <w:rsid w:val="00F11D3C"/>
    <w:rsid w:val="00F1283F"/>
    <w:rsid w:val="00F15399"/>
    <w:rsid w:val="00F22F06"/>
    <w:rsid w:val="00F27756"/>
    <w:rsid w:val="00F31F32"/>
    <w:rsid w:val="00F478B2"/>
    <w:rsid w:val="00F50395"/>
    <w:rsid w:val="00F508F0"/>
    <w:rsid w:val="00F54411"/>
    <w:rsid w:val="00F568B8"/>
    <w:rsid w:val="00F60AC0"/>
    <w:rsid w:val="00F66E1F"/>
    <w:rsid w:val="00F678F3"/>
    <w:rsid w:val="00F72242"/>
    <w:rsid w:val="00F77CAE"/>
    <w:rsid w:val="00F84C31"/>
    <w:rsid w:val="00F850B4"/>
    <w:rsid w:val="00F96C56"/>
    <w:rsid w:val="00FB690A"/>
    <w:rsid w:val="00FC78C0"/>
    <w:rsid w:val="00FD7F41"/>
    <w:rsid w:val="00FF68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FB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360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360D"/>
    <w:rPr>
      <w:rFonts w:ascii="Lucida Grande" w:hAnsi="Lucida Grande" w:cs="Lucida Grande"/>
      <w:sz w:val="18"/>
      <w:szCs w:val="18"/>
    </w:rPr>
  </w:style>
  <w:style w:type="paragraph" w:styleId="Testonotaapidipagina">
    <w:name w:val="footnote text"/>
    <w:aliases w:val=" Carattere Carattere Carattere Carattere, Carattere Carattere Carattere Carattere Carattere Carattere Carattere Carattere,Carattere Carattere Carattere Carattere"/>
    <w:basedOn w:val="Normale"/>
    <w:link w:val="TestonotaapidipaginaCarattere"/>
    <w:uiPriority w:val="99"/>
    <w:unhideWhenUsed/>
    <w:rsid w:val="003B0B1B"/>
  </w:style>
  <w:style w:type="character" w:customStyle="1" w:styleId="TestonotaapidipaginaCarattere">
    <w:name w:val="Testo nota a piè di pagina Carattere"/>
    <w:aliases w:val=" Carattere Carattere Carattere Carattere Carattere, Carattere Carattere Carattere Carattere Carattere Carattere Carattere Carattere Carattere,Carattere Carattere Carattere Carattere Carattere"/>
    <w:basedOn w:val="Carpredefinitoparagrafo"/>
    <w:link w:val="Testonotaapidipagina"/>
    <w:uiPriority w:val="99"/>
    <w:rsid w:val="003B0B1B"/>
  </w:style>
  <w:style w:type="character" w:styleId="Rimandonotaapidipagina">
    <w:name w:val="footnote reference"/>
    <w:basedOn w:val="Carpredefinitoparagrafo"/>
    <w:uiPriority w:val="99"/>
    <w:unhideWhenUsed/>
    <w:rsid w:val="003B0B1B"/>
    <w:rPr>
      <w:vertAlign w:val="superscript"/>
    </w:rPr>
  </w:style>
  <w:style w:type="paragraph" w:styleId="Testonotadichiusura">
    <w:name w:val="endnote text"/>
    <w:basedOn w:val="Normale"/>
    <w:link w:val="TestonotadichiusuraCarattere"/>
    <w:uiPriority w:val="99"/>
    <w:unhideWhenUsed/>
    <w:rsid w:val="00F31F32"/>
  </w:style>
  <w:style w:type="character" w:customStyle="1" w:styleId="TestonotadichiusuraCarattere">
    <w:name w:val="Testo nota di chiusura Carattere"/>
    <w:basedOn w:val="Carpredefinitoparagrafo"/>
    <w:link w:val="Testonotadichiusura"/>
    <w:uiPriority w:val="99"/>
    <w:rsid w:val="00F31F32"/>
  </w:style>
  <w:style w:type="character" w:styleId="Rimandonotadichiusura">
    <w:name w:val="endnote reference"/>
    <w:basedOn w:val="Carpredefinitoparagrafo"/>
    <w:uiPriority w:val="99"/>
    <w:unhideWhenUsed/>
    <w:rsid w:val="00F31F32"/>
    <w:rPr>
      <w:vertAlign w:val="superscript"/>
    </w:rPr>
  </w:style>
  <w:style w:type="character" w:styleId="Rimandocommento">
    <w:name w:val="annotation reference"/>
    <w:basedOn w:val="Carpredefinitoparagrafo"/>
    <w:uiPriority w:val="99"/>
    <w:semiHidden/>
    <w:unhideWhenUsed/>
    <w:rsid w:val="0042531C"/>
    <w:rPr>
      <w:sz w:val="18"/>
      <w:szCs w:val="18"/>
    </w:rPr>
  </w:style>
  <w:style w:type="paragraph" w:styleId="Testocommento">
    <w:name w:val="annotation text"/>
    <w:basedOn w:val="Normale"/>
    <w:link w:val="TestocommentoCarattere"/>
    <w:uiPriority w:val="99"/>
    <w:semiHidden/>
    <w:unhideWhenUsed/>
    <w:rsid w:val="0042531C"/>
  </w:style>
  <w:style w:type="character" w:customStyle="1" w:styleId="TestocommentoCarattere">
    <w:name w:val="Testo commento Carattere"/>
    <w:basedOn w:val="Carpredefinitoparagrafo"/>
    <w:link w:val="Testocommento"/>
    <w:uiPriority w:val="99"/>
    <w:semiHidden/>
    <w:rsid w:val="0042531C"/>
  </w:style>
  <w:style w:type="paragraph" w:styleId="Soggettocommento">
    <w:name w:val="annotation subject"/>
    <w:basedOn w:val="Testocommento"/>
    <w:next w:val="Testocommento"/>
    <w:link w:val="SoggettocommentoCarattere"/>
    <w:uiPriority w:val="99"/>
    <w:semiHidden/>
    <w:unhideWhenUsed/>
    <w:rsid w:val="0042531C"/>
    <w:rPr>
      <w:b/>
      <w:bCs/>
      <w:sz w:val="20"/>
      <w:szCs w:val="20"/>
    </w:rPr>
  </w:style>
  <w:style w:type="character" w:customStyle="1" w:styleId="SoggettocommentoCarattere">
    <w:name w:val="Soggetto commento Carattere"/>
    <w:basedOn w:val="TestocommentoCarattere"/>
    <w:link w:val="Soggettocommento"/>
    <w:uiPriority w:val="99"/>
    <w:semiHidden/>
    <w:rsid w:val="0042531C"/>
    <w:rPr>
      <w:b/>
      <w:bCs/>
      <w:sz w:val="20"/>
      <w:szCs w:val="20"/>
    </w:rPr>
  </w:style>
  <w:style w:type="character" w:styleId="Collegamentoipertestuale">
    <w:name w:val="Hyperlink"/>
    <w:basedOn w:val="Carpredefinitoparagrafo"/>
    <w:unhideWhenUsed/>
    <w:rsid w:val="00174D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360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360D"/>
    <w:rPr>
      <w:rFonts w:ascii="Lucida Grande" w:hAnsi="Lucida Grande" w:cs="Lucida Grande"/>
      <w:sz w:val="18"/>
      <w:szCs w:val="18"/>
    </w:rPr>
  </w:style>
  <w:style w:type="paragraph" w:styleId="Testonotaapidipagina">
    <w:name w:val="footnote text"/>
    <w:aliases w:val=" Carattere Carattere Carattere Carattere, Carattere Carattere Carattere Carattere Carattere Carattere Carattere Carattere,Carattere Carattere Carattere Carattere"/>
    <w:basedOn w:val="Normale"/>
    <w:link w:val="TestonotaapidipaginaCarattere"/>
    <w:uiPriority w:val="99"/>
    <w:unhideWhenUsed/>
    <w:rsid w:val="003B0B1B"/>
  </w:style>
  <w:style w:type="character" w:customStyle="1" w:styleId="TestonotaapidipaginaCarattere">
    <w:name w:val="Testo nota a piè di pagina Carattere"/>
    <w:aliases w:val=" Carattere Carattere Carattere Carattere Carattere, Carattere Carattere Carattere Carattere Carattere Carattere Carattere Carattere Carattere,Carattere Carattere Carattere Carattere Carattere"/>
    <w:basedOn w:val="Carpredefinitoparagrafo"/>
    <w:link w:val="Testonotaapidipagina"/>
    <w:uiPriority w:val="99"/>
    <w:rsid w:val="003B0B1B"/>
  </w:style>
  <w:style w:type="character" w:styleId="Rimandonotaapidipagina">
    <w:name w:val="footnote reference"/>
    <w:basedOn w:val="Carpredefinitoparagrafo"/>
    <w:uiPriority w:val="99"/>
    <w:unhideWhenUsed/>
    <w:rsid w:val="003B0B1B"/>
    <w:rPr>
      <w:vertAlign w:val="superscript"/>
    </w:rPr>
  </w:style>
  <w:style w:type="paragraph" w:styleId="Testonotadichiusura">
    <w:name w:val="endnote text"/>
    <w:basedOn w:val="Normale"/>
    <w:link w:val="TestonotadichiusuraCarattere"/>
    <w:uiPriority w:val="99"/>
    <w:unhideWhenUsed/>
    <w:rsid w:val="00F31F32"/>
  </w:style>
  <w:style w:type="character" w:customStyle="1" w:styleId="TestonotadichiusuraCarattere">
    <w:name w:val="Testo nota di chiusura Carattere"/>
    <w:basedOn w:val="Carpredefinitoparagrafo"/>
    <w:link w:val="Testonotadichiusura"/>
    <w:uiPriority w:val="99"/>
    <w:rsid w:val="00F31F32"/>
  </w:style>
  <w:style w:type="character" w:styleId="Rimandonotadichiusura">
    <w:name w:val="endnote reference"/>
    <w:basedOn w:val="Carpredefinitoparagrafo"/>
    <w:uiPriority w:val="99"/>
    <w:unhideWhenUsed/>
    <w:rsid w:val="00F31F32"/>
    <w:rPr>
      <w:vertAlign w:val="superscript"/>
    </w:rPr>
  </w:style>
  <w:style w:type="character" w:styleId="Rimandocommento">
    <w:name w:val="annotation reference"/>
    <w:basedOn w:val="Carpredefinitoparagrafo"/>
    <w:uiPriority w:val="99"/>
    <w:semiHidden/>
    <w:unhideWhenUsed/>
    <w:rsid w:val="0042531C"/>
    <w:rPr>
      <w:sz w:val="18"/>
      <w:szCs w:val="18"/>
    </w:rPr>
  </w:style>
  <w:style w:type="paragraph" w:styleId="Testocommento">
    <w:name w:val="annotation text"/>
    <w:basedOn w:val="Normale"/>
    <w:link w:val="TestocommentoCarattere"/>
    <w:uiPriority w:val="99"/>
    <w:semiHidden/>
    <w:unhideWhenUsed/>
    <w:rsid w:val="0042531C"/>
  </w:style>
  <w:style w:type="character" w:customStyle="1" w:styleId="TestocommentoCarattere">
    <w:name w:val="Testo commento Carattere"/>
    <w:basedOn w:val="Carpredefinitoparagrafo"/>
    <w:link w:val="Testocommento"/>
    <w:uiPriority w:val="99"/>
    <w:semiHidden/>
    <w:rsid w:val="0042531C"/>
  </w:style>
  <w:style w:type="paragraph" w:styleId="Soggettocommento">
    <w:name w:val="annotation subject"/>
    <w:basedOn w:val="Testocommento"/>
    <w:next w:val="Testocommento"/>
    <w:link w:val="SoggettocommentoCarattere"/>
    <w:uiPriority w:val="99"/>
    <w:semiHidden/>
    <w:unhideWhenUsed/>
    <w:rsid w:val="0042531C"/>
    <w:rPr>
      <w:b/>
      <w:bCs/>
      <w:sz w:val="20"/>
      <w:szCs w:val="20"/>
    </w:rPr>
  </w:style>
  <w:style w:type="character" w:customStyle="1" w:styleId="SoggettocommentoCarattere">
    <w:name w:val="Soggetto commento Carattere"/>
    <w:basedOn w:val="TestocommentoCarattere"/>
    <w:link w:val="Soggettocommento"/>
    <w:uiPriority w:val="99"/>
    <w:semiHidden/>
    <w:rsid w:val="0042531C"/>
    <w:rPr>
      <w:b/>
      <w:bCs/>
      <w:sz w:val="20"/>
      <w:szCs w:val="20"/>
    </w:rPr>
  </w:style>
  <w:style w:type="character" w:styleId="Collegamentoipertestuale">
    <w:name w:val="Hyperlink"/>
    <w:basedOn w:val="Carpredefinitoparagrafo"/>
    <w:unhideWhenUsed/>
    <w:rsid w:val="00174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81">
      <w:bodyDiv w:val="1"/>
      <w:marLeft w:val="0"/>
      <w:marRight w:val="0"/>
      <w:marTop w:val="0"/>
      <w:marBottom w:val="0"/>
      <w:divBdr>
        <w:top w:val="none" w:sz="0" w:space="0" w:color="auto"/>
        <w:left w:val="none" w:sz="0" w:space="0" w:color="auto"/>
        <w:bottom w:val="none" w:sz="0" w:space="0" w:color="auto"/>
        <w:right w:val="none" w:sz="0" w:space="0" w:color="auto"/>
      </w:divBdr>
    </w:div>
    <w:div w:id="94981538">
      <w:bodyDiv w:val="1"/>
      <w:marLeft w:val="0"/>
      <w:marRight w:val="0"/>
      <w:marTop w:val="0"/>
      <w:marBottom w:val="0"/>
      <w:divBdr>
        <w:top w:val="none" w:sz="0" w:space="0" w:color="auto"/>
        <w:left w:val="none" w:sz="0" w:space="0" w:color="auto"/>
        <w:bottom w:val="none" w:sz="0" w:space="0" w:color="auto"/>
        <w:right w:val="none" w:sz="0" w:space="0" w:color="auto"/>
      </w:divBdr>
    </w:div>
    <w:div w:id="197933471">
      <w:bodyDiv w:val="1"/>
      <w:marLeft w:val="0"/>
      <w:marRight w:val="0"/>
      <w:marTop w:val="0"/>
      <w:marBottom w:val="0"/>
      <w:divBdr>
        <w:top w:val="none" w:sz="0" w:space="0" w:color="auto"/>
        <w:left w:val="none" w:sz="0" w:space="0" w:color="auto"/>
        <w:bottom w:val="none" w:sz="0" w:space="0" w:color="auto"/>
        <w:right w:val="none" w:sz="0" w:space="0" w:color="auto"/>
      </w:divBdr>
    </w:div>
    <w:div w:id="301813170">
      <w:bodyDiv w:val="1"/>
      <w:marLeft w:val="0"/>
      <w:marRight w:val="0"/>
      <w:marTop w:val="0"/>
      <w:marBottom w:val="0"/>
      <w:divBdr>
        <w:top w:val="none" w:sz="0" w:space="0" w:color="auto"/>
        <w:left w:val="none" w:sz="0" w:space="0" w:color="auto"/>
        <w:bottom w:val="none" w:sz="0" w:space="0" w:color="auto"/>
        <w:right w:val="none" w:sz="0" w:space="0" w:color="auto"/>
      </w:divBdr>
    </w:div>
    <w:div w:id="314145409">
      <w:bodyDiv w:val="1"/>
      <w:marLeft w:val="0"/>
      <w:marRight w:val="0"/>
      <w:marTop w:val="0"/>
      <w:marBottom w:val="0"/>
      <w:divBdr>
        <w:top w:val="none" w:sz="0" w:space="0" w:color="auto"/>
        <w:left w:val="none" w:sz="0" w:space="0" w:color="auto"/>
        <w:bottom w:val="none" w:sz="0" w:space="0" w:color="auto"/>
        <w:right w:val="none" w:sz="0" w:space="0" w:color="auto"/>
      </w:divBdr>
    </w:div>
    <w:div w:id="405609127">
      <w:bodyDiv w:val="1"/>
      <w:marLeft w:val="0"/>
      <w:marRight w:val="0"/>
      <w:marTop w:val="0"/>
      <w:marBottom w:val="0"/>
      <w:divBdr>
        <w:top w:val="none" w:sz="0" w:space="0" w:color="auto"/>
        <w:left w:val="none" w:sz="0" w:space="0" w:color="auto"/>
        <w:bottom w:val="none" w:sz="0" w:space="0" w:color="auto"/>
        <w:right w:val="none" w:sz="0" w:space="0" w:color="auto"/>
      </w:divBdr>
    </w:div>
    <w:div w:id="597250681">
      <w:bodyDiv w:val="1"/>
      <w:marLeft w:val="0"/>
      <w:marRight w:val="0"/>
      <w:marTop w:val="0"/>
      <w:marBottom w:val="0"/>
      <w:divBdr>
        <w:top w:val="none" w:sz="0" w:space="0" w:color="auto"/>
        <w:left w:val="none" w:sz="0" w:space="0" w:color="auto"/>
        <w:bottom w:val="none" w:sz="0" w:space="0" w:color="auto"/>
        <w:right w:val="none" w:sz="0" w:space="0" w:color="auto"/>
      </w:divBdr>
    </w:div>
    <w:div w:id="659429262">
      <w:bodyDiv w:val="1"/>
      <w:marLeft w:val="0"/>
      <w:marRight w:val="0"/>
      <w:marTop w:val="0"/>
      <w:marBottom w:val="0"/>
      <w:divBdr>
        <w:top w:val="none" w:sz="0" w:space="0" w:color="auto"/>
        <w:left w:val="none" w:sz="0" w:space="0" w:color="auto"/>
        <w:bottom w:val="none" w:sz="0" w:space="0" w:color="auto"/>
        <w:right w:val="none" w:sz="0" w:space="0" w:color="auto"/>
      </w:divBdr>
    </w:div>
    <w:div w:id="818810126">
      <w:bodyDiv w:val="1"/>
      <w:marLeft w:val="0"/>
      <w:marRight w:val="0"/>
      <w:marTop w:val="0"/>
      <w:marBottom w:val="0"/>
      <w:divBdr>
        <w:top w:val="none" w:sz="0" w:space="0" w:color="auto"/>
        <w:left w:val="none" w:sz="0" w:space="0" w:color="auto"/>
        <w:bottom w:val="none" w:sz="0" w:space="0" w:color="auto"/>
        <w:right w:val="none" w:sz="0" w:space="0" w:color="auto"/>
      </w:divBdr>
      <w:divsChild>
        <w:div w:id="1744259792">
          <w:marLeft w:val="0"/>
          <w:marRight w:val="0"/>
          <w:marTop w:val="75"/>
          <w:marBottom w:val="75"/>
          <w:divBdr>
            <w:top w:val="none" w:sz="0" w:space="0" w:color="auto"/>
            <w:left w:val="none" w:sz="0" w:space="0" w:color="auto"/>
            <w:bottom w:val="none" w:sz="0" w:space="0" w:color="auto"/>
            <w:right w:val="none" w:sz="0" w:space="0" w:color="auto"/>
          </w:divBdr>
          <w:divsChild>
            <w:div w:id="337192188">
              <w:marLeft w:val="0"/>
              <w:marRight w:val="0"/>
              <w:marTop w:val="0"/>
              <w:marBottom w:val="0"/>
              <w:divBdr>
                <w:top w:val="none" w:sz="0" w:space="0" w:color="auto"/>
                <w:left w:val="none" w:sz="0" w:space="0" w:color="auto"/>
                <w:bottom w:val="none" w:sz="0" w:space="0" w:color="auto"/>
                <w:right w:val="none" w:sz="0" w:space="0" w:color="auto"/>
              </w:divBdr>
            </w:div>
          </w:divsChild>
        </w:div>
        <w:div w:id="1215576916">
          <w:marLeft w:val="0"/>
          <w:marRight w:val="0"/>
          <w:marTop w:val="75"/>
          <w:marBottom w:val="75"/>
          <w:divBdr>
            <w:top w:val="none" w:sz="0" w:space="0" w:color="auto"/>
            <w:left w:val="none" w:sz="0" w:space="0" w:color="auto"/>
            <w:bottom w:val="none" w:sz="0" w:space="0" w:color="auto"/>
            <w:right w:val="none" w:sz="0" w:space="0" w:color="auto"/>
          </w:divBdr>
          <w:divsChild>
            <w:div w:id="9846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083">
      <w:bodyDiv w:val="1"/>
      <w:marLeft w:val="0"/>
      <w:marRight w:val="0"/>
      <w:marTop w:val="0"/>
      <w:marBottom w:val="0"/>
      <w:divBdr>
        <w:top w:val="none" w:sz="0" w:space="0" w:color="auto"/>
        <w:left w:val="none" w:sz="0" w:space="0" w:color="auto"/>
        <w:bottom w:val="none" w:sz="0" w:space="0" w:color="auto"/>
        <w:right w:val="none" w:sz="0" w:space="0" w:color="auto"/>
      </w:divBdr>
    </w:div>
    <w:div w:id="1129010961">
      <w:bodyDiv w:val="1"/>
      <w:marLeft w:val="0"/>
      <w:marRight w:val="0"/>
      <w:marTop w:val="0"/>
      <w:marBottom w:val="0"/>
      <w:divBdr>
        <w:top w:val="none" w:sz="0" w:space="0" w:color="auto"/>
        <w:left w:val="none" w:sz="0" w:space="0" w:color="auto"/>
        <w:bottom w:val="none" w:sz="0" w:space="0" w:color="auto"/>
        <w:right w:val="none" w:sz="0" w:space="0" w:color="auto"/>
      </w:divBdr>
    </w:div>
    <w:div w:id="1242641381">
      <w:bodyDiv w:val="1"/>
      <w:marLeft w:val="0"/>
      <w:marRight w:val="0"/>
      <w:marTop w:val="0"/>
      <w:marBottom w:val="0"/>
      <w:divBdr>
        <w:top w:val="none" w:sz="0" w:space="0" w:color="auto"/>
        <w:left w:val="none" w:sz="0" w:space="0" w:color="auto"/>
        <w:bottom w:val="none" w:sz="0" w:space="0" w:color="auto"/>
        <w:right w:val="none" w:sz="0" w:space="0" w:color="auto"/>
      </w:divBdr>
    </w:div>
    <w:div w:id="1544445954">
      <w:bodyDiv w:val="1"/>
      <w:marLeft w:val="0"/>
      <w:marRight w:val="0"/>
      <w:marTop w:val="0"/>
      <w:marBottom w:val="0"/>
      <w:divBdr>
        <w:top w:val="none" w:sz="0" w:space="0" w:color="auto"/>
        <w:left w:val="none" w:sz="0" w:space="0" w:color="auto"/>
        <w:bottom w:val="none" w:sz="0" w:space="0" w:color="auto"/>
        <w:right w:val="none" w:sz="0" w:space="0" w:color="auto"/>
      </w:divBdr>
    </w:div>
    <w:div w:id="1569806754">
      <w:bodyDiv w:val="1"/>
      <w:marLeft w:val="0"/>
      <w:marRight w:val="0"/>
      <w:marTop w:val="0"/>
      <w:marBottom w:val="0"/>
      <w:divBdr>
        <w:top w:val="none" w:sz="0" w:space="0" w:color="auto"/>
        <w:left w:val="none" w:sz="0" w:space="0" w:color="auto"/>
        <w:bottom w:val="none" w:sz="0" w:space="0" w:color="auto"/>
        <w:right w:val="none" w:sz="0" w:space="0" w:color="auto"/>
      </w:divBdr>
    </w:div>
    <w:div w:id="1734890102">
      <w:bodyDiv w:val="1"/>
      <w:marLeft w:val="0"/>
      <w:marRight w:val="0"/>
      <w:marTop w:val="0"/>
      <w:marBottom w:val="0"/>
      <w:divBdr>
        <w:top w:val="none" w:sz="0" w:space="0" w:color="auto"/>
        <w:left w:val="none" w:sz="0" w:space="0" w:color="auto"/>
        <w:bottom w:val="none" w:sz="0" w:space="0" w:color="auto"/>
        <w:right w:val="none" w:sz="0" w:space="0" w:color="auto"/>
      </w:divBdr>
    </w:div>
    <w:div w:id="1761412698">
      <w:bodyDiv w:val="1"/>
      <w:marLeft w:val="0"/>
      <w:marRight w:val="0"/>
      <w:marTop w:val="0"/>
      <w:marBottom w:val="0"/>
      <w:divBdr>
        <w:top w:val="none" w:sz="0" w:space="0" w:color="auto"/>
        <w:left w:val="none" w:sz="0" w:space="0" w:color="auto"/>
        <w:bottom w:val="none" w:sz="0" w:space="0" w:color="auto"/>
        <w:right w:val="none" w:sz="0" w:space="0" w:color="auto"/>
      </w:divBdr>
    </w:div>
    <w:div w:id="1810248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721B-5CAA-4DB0-B8BC-6790AEAB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2547</Words>
  <Characters>14518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aperio bella</dc:creator>
  <cp:lastModifiedBy>USER</cp:lastModifiedBy>
  <cp:revision>2</cp:revision>
  <dcterms:created xsi:type="dcterms:W3CDTF">2016-05-04T19:48:00Z</dcterms:created>
  <dcterms:modified xsi:type="dcterms:W3CDTF">2016-05-04T19:48:00Z</dcterms:modified>
</cp:coreProperties>
</file>