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1D" w:rsidRPr="00CE7707" w:rsidRDefault="00CE7707" w:rsidP="00C44F00">
      <w:pPr>
        <w:spacing w:after="0" w:line="360" w:lineRule="auto"/>
        <w:jc w:val="center"/>
        <w:rPr>
          <w:rFonts w:ascii="Times New Roman" w:hAnsi="Times New Roman" w:cs="Times New Roman"/>
          <w:b/>
          <w:sz w:val="24"/>
          <w:szCs w:val="24"/>
        </w:rPr>
      </w:pPr>
      <w:bookmarkStart w:id="0" w:name="_GoBack"/>
      <w:bookmarkEnd w:id="0"/>
      <w:r w:rsidRPr="00CE7707">
        <w:rPr>
          <w:rFonts w:ascii="Times New Roman" w:hAnsi="Times New Roman" w:cs="Times New Roman"/>
          <w:b/>
          <w:sz w:val="24"/>
          <w:szCs w:val="24"/>
        </w:rPr>
        <w:t>La resistenza degli interessi sensibili nella nuova disciplina della SCIA</w:t>
      </w:r>
    </w:p>
    <w:p w:rsidR="00CE7707" w:rsidRPr="00CE7707" w:rsidRDefault="00CE7707" w:rsidP="00C44F00">
      <w:pPr>
        <w:spacing w:after="0" w:line="360" w:lineRule="auto"/>
        <w:jc w:val="center"/>
        <w:rPr>
          <w:rFonts w:ascii="Times New Roman" w:hAnsi="Times New Roman" w:cs="Times New Roman"/>
          <w:b/>
          <w:sz w:val="24"/>
          <w:szCs w:val="24"/>
        </w:rPr>
      </w:pPr>
      <w:r w:rsidRPr="00CE7707">
        <w:rPr>
          <w:rFonts w:ascii="Times New Roman" w:hAnsi="Times New Roman" w:cs="Times New Roman"/>
          <w:b/>
          <w:sz w:val="24"/>
          <w:szCs w:val="24"/>
        </w:rPr>
        <w:t>Annarita Iacopino</w:t>
      </w:r>
    </w:p>
    <w:p w:rsidR="008C1D36" w:rsidRDefault="00CE7707" w:rsidP="00C44F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tema che mi è stato assegnato intercetta quello, più ampio, del </w:t>
      </w:r>
      <w:r w:rsidR="0077021D">
        <w:rPr>
          <w:rFonts w:ascii="Times New Roman" w:hAnsi="Times New Roman" w:cs="Times New Roman"/>
          <w:sz w:val="24"/>
          <w:szCs w:val="24"/>
        </w:rPr>
        <w:t xml:space="preserve">nuovo </w:t>
      </w:r>
      <w:r>
        <w:rPr>
          <w:rFonts w:ascii="Times New Roman" w:hAnsi="Times New Roman" w:cs="Times New Roman"/>
          <w:sz w:val="24"/>
          <w:szCs w:val="24"/>
        </w:rPr>
        <w:t xml:space="preserve">rapporto tra semplificazione procedimentale e </w:t>
      </w:r>
      <w:r w:rsidR="008C1D36">
        <w:rPr>
          <w:rFonts w:ascii="Times New Roman" w:hAnsi="Times New Roman" w:cs="Times New Roman"/>
          <w:sz w:val="24"/>
          <w:szCs w:val="24"/>
        </w:rPr>
        <w:t>garanzia</w:t>
      </w:r>
      <w:r>
        <w:rPr>
          <w:rFonts w:ascii="Times New Roman" w:hAnsi="Times New Roman" w:cs="Times New Roman"/>
          <w:sz w:val="24"/>
          <w:szCs w:val="24"/>
        </w:rPr>
        <w:t xml:space="preserve"> degli interessi sensibili che emerge a seguito dell’approvazione della Legge n. 124 del 2015. </w:t>
      </w:r>
    </w:p>
    <w:p w:rsidR="008C1D36" w:rsidRDefault="00CE7707" w:rsidP="00C44F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nodo da sci</w:t>
      </w:r>
      <w:r w:rsidR="008A54ED">
        <w:rPr>
          <w:rFonts w:ascii="Times New Roman" w:hAnsi="Times New Roman" w:cs="Times New Roman"/>
          <w:sz w:val="24"/>
          <w:szCs w:val="24"/>
        </w:rPr>
        <w:t xml:space="preserve">ogliere, infatti, è se, </w:t>
      </w:r>
      <w:r>
        <w:rPr>
          <w:rFonts w:ascii="Times New Roman" w:hAnsi="Times New Roman" w:cs="Times New Roman"/>
          <w:sz w:val="24"/>
          <w:szCs w:val="24"/>
        </w:rPr>
        <w:t>nell’architettura delineata dalla riforma</w:t>
      </w:r>
      <w:r w:rsidR="008A54ED">
        <w:rPr>
          <w:rFonts w:ascii="Times New Roman" w:hAnsi="Times New Roman" w:cs="Times New Roman"/>
          <w:sz w:val="24"/>
          <w:szCs w:val="24"/>
        </w:rPr>
        <w:t>,</w:t>
      </w:r>
      <w:r>
        <w:rPr>
          <w:rFonts w:ascii="Times New Roman" w:hAnsi="Times New Roman" w:cs="Times New Roman"/>
          <w:sz w:val="24"/>
          <w:szCs w:val="24"/>
        </w:rPr>
        <w:t xml:space="preserve"> vi sia una resistenza degli interessi sensibili o, al contrario, come è stato paventato da alcuni Autori</w:t>
      </w:r>
      <w:r w:rsidR="00B91040">
        <w:rPr>
          <w:rStyle w:val="Rimandonotaapidipagina"/>
          <w:rFonts w:ascii="Times New Roman" w:hAnsi="Times New Roman" w:cs="Times New Roman"/>
          <w:sz w:val="24"/>
          <w:szCs w:val="24"/>
        </w:rPr>
        <w:footnoteReference w:id="1"/>
      </w:r>
      <w:r>
        <w:rPr>
          <w:rFonts w:ascii="Times New Roman" w:hAnsi="Times New Roman" w:cs="Times New Roman"/>
          <w:sz w:val="24"/>
          <w:szCs w:val="24"/>
        </w:rPr>
        <w:t>, vi sia un logoramento degli stessi, causa un “abbassamento” del livello di garanzia.</w:t>
      </w:r>
      <w:r w:rsidR="000E5655">
        <w:rPr>
          <w:rFonts w:ascii="Times New Roman" w:hAnsi="Times New Roman" w:cs="Times New Roman"/>
          <w:sz w:val="24"/>
          <w:szCs w:val="24"/>
        </w:rPr>
        <w:t xml:space="preserve"> </w:t>
      </w:r>
      <w:r w:rsidR="008C1D36">
        <w:rPr>
          <w:rFonts w:ascii="Times New Roman" w:hAnsi="Times New Roman" w:cs="Times New Roman"/>
          <w:sz w:val="24"/>
          <w:szCs w:val="24"/>
        </w:rPr>
        <w:t xml:space="preserve">E ciò in considerazione del fatto che, per parlare correttamente di tutela o garanzia degli interessi sensibili, non ci si può limitare a considerare satisfattiva la mera valutazione in astratto, ma si rende necessario verificare se il sistema normativo predisposto consente, tanto in sede di bilanciamento degli interessi in astratto, quanto in sede di ponderazione in concreto, di tutelare il nucleo essenziale del diritto (fondamentale) cui questi interessi sono riconducibili. </w:t>
      </w:r>
    </w:p>
    <w:p w:rsidR="00CE7707" w:rsidRDefault="008C1D36" w:rsidP="00C44F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Superfluo è in questa sede soffermarsi sulla sussistenza di</w:t>
      </w:r>
      <w:r w:rsidR="006A3C5D">
        <w:rPr>
          <w:rFonts w:ascii="Times New Roman" w:hAnsi="Times New Roman" w:cs="Times New Roman"/>
          <w:sz w:val="24"/>
          <w:szCs w:val="24"/>
        </w:rPr>
        <w:t xml:space="preserve"> una stretta interconnessione tra le disposizioni in mat</w:t>
      </w:r>
      <w:r w:rsidR="00C83091">
        <w:rPr>
          <w:rFonts w:ascii="Times New Roman" w:hAnsi="Times New Roman" w:cs="Times New Roman"/>
          <w:sz w:val="24"/>
          <w:szCs w:val="24"/>
        </w:rPr>
        <w:t>eria di conferenza dei servizi</w:t>
      </w:r>
      <w:r w:rsidR="00293FFE">
        <w:rPr>
          <w:rFonts w:ascii="Times New Roman" w:hAnsi="Times New Roman" w:cs="Times New Roman"/>
          <w:sz w:val="24"/>
          <w:szCs w:val="24"/>
        </w:rPr>
        <w:t>, la nuova formulazione dell’</w:t>
      </w:r>
      <w:r w:rsidR="00B534CE">
        <w:rPr>
          <w:rFonts w:ascii="Times New Roman" w:hAnsi="Times New Roman" w:cs="Times New Roman"/>
          <w:sz w:val="24"/>
          <w:szCs w:val="24"/>
        </w:rPr>
        <w:t>art. 21-</w:t>
      </w:r>
      <w:r w:rsidR="00C83091">
        <w:rPr>
          <w:rFonts w:ascii="Times New Roman" w:hAnsi="Times New Roman" w:cs="Times New Roman"/>
          <w:sz w:val="24"/>
          <w:szCs w:val="24"/>
        </w:rPr>
        <w:t>nonies</w:t>
      </w:r>
      <w:r w:rsidR="00AA1F07">
        <w:rPr>
          <w:rFonts w:ascii="Times New Roman" w:hAnsi="Times New Roman" w:cs="Times New Roman"/>
          <w:sz w:val="24"/>
          <w:szCs w:val="24"/>
        </w:rPr>
        <w:t xml:space="preserve">, </w:t>
      </w:r>
      <w:r w:rsidR="0025397D">
        <w:rPr>
          <w:rFonts w:ascii="Times New Roman" w:hAnsi="Times New Roman" w:cs="Times New Roman"/>
          <w:sz w:val="24"/>
          <w:szCs w:val="24"/>
        </w:rPr>
        <w:t>il</w:t>
      </w:r>
      <w:r w:rsidR="00AA1F07">
        <w:rPr>
          <w:rFonts w:ascii="Times New Roman" w:hAnsi="Times New Roman" w:cs="Times New Roman"/>
          <w:sz w:val="24"/>
          <w:szCs w:val="24"/>
        </w:rPr>
        <w:t xml:space="preserve"> silenzio assenso </w:t>
      </w:r>
      <w:r w:rsidR="006A3C5D">
        <w:rPr>
          <w:rFonts w:ascii="Times New Roman" w:hAnsi="Times New Roman" w:cs="Times New Roman"/>
          <w:sz w:val="24"/>
          <w:szCs w:val="24"/>
        </w:rPr>
        <w:t>e la riformata disciplina del</w:t>
      </w:r>
      <w:r w:rsidR="009A6EC1">
        <w:rPr>
          <w:rFonts w:ascii="Times New Roman" w:hAnsi="Times New Roman" w:cs="Times New Roman"/>
          <w:sz w:val="24"/>
          <w:szCs w:val="24"/>
        </w:rPr>
        <w:t>la SCIA; interconnessione testimoniata</w:t>
      </w:r>
      <w:r w:rsidR="006A3C5D">
        <w:rPr>
          <w:rFonts w:ascii="Times New Roman" w:hAnsi="Times New Roman" w:cs="Times New Roman"/>
          <w:sz w:val="24"/>
          <w:szCs w:val="24"/>
        </w:rPr>
        <w:t xml:space="preserve"> dal richiamo alle predette discipline nel testo dell’art. 5 della Legge n. 124, in quello del primo decreto legislativo di attuazione (oltre che in quello, per ora provvisorio, relativo alla ricognizione e classificazione dei procedimenti) </w:t>
      </w:r>
      <w:r w:rsidR="009A6EC1">
        <w:rPr>
          <w:rFonts w:ascii="Times New Roman" w:hAnsi="Times New Roman" w:cs="Times New Roman"/>
          <w:sz w:val="24"/>
          <w:szCs w:val="24"/>
        </w:rPr>
        <w:t>e, da ultimo, nel</w:t>
      </w:r>
      <w:r w:rsidR="008A54ED">
        <w:rPr>
          <w:rFonts w:ascii="Times New Roman" w:hAnsi="Times New Roman" w:cs="Times New Roman"/>
          <w:sz w:val="24"/>
          <w:szCs w:val="24"/>
        </w:rPr>
        <w:t xml:space="preserve"> parere reso dal Consiglio di Stato </w:t>
      </w:r>
      <w:r w:rsidR="009A6EC1">
        <w:rPr>
          <w:rFonts w:ascii="Times New Roman" w:hAnsi="Times New Roman" w:cs="Times New Roman"/>
          <w:sz w:val="24"/>
          <w:szCs w:val="24"/>
        </w:rPr>
        <w:t>il 30 marzo u.s. sul predetto decreto attuativo</w:t>
      </w:r>
      <w:r w:rsidR="008A54ED">
        <w:rPr>
          <w:rFonts w:ascii="Times New Roman" w:hAnsi="Times New Roman" w:cs="Times New Roman"/>
          <w:sz w:val="24"/>
          <w:szCs w:val="24"/>
        </w:rPr>
        <w:t xml:space="preserve">. </w:t>
      </w:r>
    </w:p>
    <w:p w:rsidR="0014361E" w:rsidRDefault="008B53D9" w:rsidP="00C44F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 queste premesse, l’analisi non può </w:t>
      </w:r>
      <w:r w:rsidR="0014361E">
        <w:rPr>
          <w:rFonts w:ascii="Times New Roman" w:hAnsi="Times New Roman" w:cs="Times New Roman"/>
          <w:sz w:val="24"/>
          <w:szCs w:val="24"/>
        </w:rPr>
        <w:t xml:space="preserve">prescindere dalla individuazione dei parametri, </w:t>
      </w:r>
      <w:r>
        <w:rPr>
          <w:rFonts w:ascii="Times New Roman" w:hAnsi="Times New Roman" w:cs="Times New Roman"/>
          <w:sz w:val="24"/>
          <w:szCs w:val="24"/>
        </w:rPr>
        <w:t xml:space="preserve">costituzionali, </w:t>
      </w:r>
      <w:r w:rsidR="0014361E">
        <w:rPr>
          <w:rFonts w:ascii="Times New Roman" w:hAnsi="Times New Roman" w:cs="Times New Roman"/>
          <w:sz w:val="24"/>
          <w:szCs w:val="24"/>
        </w:rPr>
        <w:t>legislativi</w:t>
      </w:r>
      <w:r>
        <w:rPr>
          <w:rFonts w:ascii="Times New Roman" w:hAnsi="Times New Roman" w:cs="Times New Roman"/>
          <w:sz w:val="24"/>
          <w:szCs w:val="24"/>
        </w:rPr>
        <w:t xml:space="preserve"> (nazionali ed europei)</w:t>
      </w:r>
      <w:r w:rsidR="0014361E">
        <w:rPr>
          <w:rFonts w:ascii="Times New Roman" w:hAnsi="Times New Roman" w:cs="Times New Roman"/>
          <w:sz w:val="24"/>
          <w:szCs w:val="24"/>
        </w:rPr>
        <w:t xml:space="preserve"> e giurisprudenziali, sulla base dei quali effettuare </w:t>
      </w:r>
      <w:r w:rsidR="0025397D">
        <w:rPr>
          <w:rFonts w:ascii="Times New Roman" w:hAnsi="Times New Roman" w:cs="Times New Roman"/>
          <w:sz w:val="24"/>
          <w:szCs w:val="24"/>
        </w:rPr>
        <w:t>la</w:t>
      </w:r>
      <w:r w:rsidR="0014361E">
        <w:rPr>
          <w:rFonts w:ascii="Times New Roman" w:hAnsi="Times New Roman" w:cs="Times New Roman"/>
          <w:sz w:val="24"/>
          <w:szCs w:val="24"/>
        </w:rPr>
        <w:t xml:space="preserve"> valutazione sulla resistenza degli interessi sensibili.</w:t>
      </w:r>
      <w:r w:rsidR="00466D39">
        <w:rPr>
          <w:rFonts w:ascii="Times New Roman" w:hAnsi="Times New Roman" w:cs="Times New Roman"/>
          <w:sz w:val="24"/>
          <w:szCs w:val="24"/>
        </w:rPr>
        <w:t xml:space="preserve"> </w:t>
      </w:r>
    </w:p>
    <w:p w:rsidR="008B53D9" w:rsidRDefault="008B53D9" w:rsidP="008B53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Come è noto, gli interessi c.d. sensibili altro non sono se non quegli interessi che la Corte Costituzionale ha più volte qualificato come “valori costituzionali primari”, </w:t>
      </w:r>
      <w:r w:rsidR="00F23922">
        <w:rPr>
          <w:rFonts w:ascii="Times New Roman" w:hAnsi="Times New Roman" w:cs="Times New Roman"/>
          <w:sz w:val="24"/>
          <w:szCs w:val="24"/>
        </w:rPr>
        <w:t>laddove per primarietà la Corte intende la</w:t>
      </w:r>
      <w:r>
        <w:rPr>
          <w:rFonts w:ascii="Times New Roman" w:hAnsi="Times New Roman" w:cs="Times New Roman"/>
          <w:sz w:val="24"/>
          <w:szCs w:val="24"/>
        </w:rPr>
        <w:t xml:space="preserve"> </w:t>
      </w:r>
      <w:r w:rsidRPr="008B53D9">
        <w:rPr>
          <w:rFonts w:ascii="Times New Roman" w:hAnsi="Times New Roman" w:cs="Times New Roman"/>
          <w:sz w:val="24"/>
          <w:szCs w:val="24"/>
        </w:rPr>
        <w:t>“</w:t>
      </w:r>
      <w:proofErr w:type="spellStart"/>
      <w:r w:rsidRPr="008C1D36">
        <w:rPr>
          <w:rFonts w:ascii="Times New Roman" w:hAnsi="Times New Roman" w:cs="Times New Roman"/>
          <w:i/>
          <w:sz w:val="24"/>
          <w:szCs w:val="24"/>
        </w:rPr>
        <w:t>insuscettibilità</w:t>
      </w:r>
      <w:proofErr w:type="spellEnd"/>
      <w:r w:rsidRPr="008C1D36">
        <w:rPr>
          <w:rFonts w:ascii="Times New Roman" w:hAnsi="Times New Roman" w:cs="Times New Roman"/>
          <w:i/>
          <w:sz w:val="24"/>
          <w:szCs w:val="24"/>
        </w:rPr>
        <w:t xml:space="preserve"> di subordinazione ad ogni altro valore costituzionalmente tutelato</w:t>
      </w:r>
      <w:r w:rsidR="008C1D36">
        <w:rPr>
          <w:rFonts w:ascii="Times New Roman" w:hAnsi="Times New Roman" w:cs="Times New Roman"/>
          <w:i/>
          <w:sz w:val="24"/>
          <w:szCs w:val="24"/>
        </w:rPr>
        <w:t xml:space="preserve"> </w:t>
      </w:r>
      <w:r w:rsidR="008C1D36" w:rsidRPr="008C1D36">
        <w:rPr>
          <w:rFonts w:ascii="Times New Roman" w:hAnsi="Times New Roman" w:cs="Times New Roman"/>
          <w:sz w:val="24"/>
          <w:szCs w:val="24"/>
        </w:rPr>
        <w:t>[</w:t>
      </w:r>
      <w:proofErr w:type="spellStart"/>
      <w:r w:rsidR="008C1D36">
        <w:rPr>
          <w:rFonts w:ascii="Times New Roman" w:hAnsi="Times New Roman" w:cs="Times New Roman"/>
          <w:sz w:val="24"/>
          <w:szCs w:val="24"/>
        </w:rPr>
        <w:t>n.d.a.</w:t>
      </w:r>
      <w:proofErr w:type="spellEnd"/>
      <w:r w:rsidR="008C1D36">
        <w:rPr>
          <w:rFonts w:ascii="Times New Roman" w:hAnsi="Times New Roman" w:cs="Times New Roman"/>
          <w:sz w:val="24"/>
          <w:szCs w:val="24"/>
        </w:rPr>
        <w:t xml:space="preserve">: </w:t>
      </w:r>
      <w:r w:rsidR="008C1D36" w:rsidRPr="008C1D36">
        <w:rPr>
          <w:rFonts w:ascii="Times New Roman" w:hAnsi="Times New Roman" w:cs="Times New Roman"/>
          <w:sz w:val="24"/>
          <w:szCs w:val="24"/>
        </w:rPr>
        <w:t>nel senso di una intangibilità del nucleo essenziale del diritto]</w:t>
      </w:r>
      <w:r w:rsidRPr="008C1D36">
        <w:rPr>
          <w:rFonts w:ascii="Times New Roman" w:hAnsi="Times New Roman" w:cs="Times New Roman"/>
          <w:i/>
          <w:sz w:val="24"/>
          <w:szCs w:val="24"/>
        </w:rPr>
        <w:t>, ivi compresi quelli economici</w:t>
      </w:r>
      <w:r w:rsidRPr="008B53D9">
        <w:rPr>
          <w:rFonts w:ascii="Times New Roman" w:hAnsi="Times New Roman" w:cs="Times New Roman"/>
          <w:sz w:val="24"/>
          <w:szCs w:val="24"/>
        </w:rPr>
        <w:t>”</w:t>
      </w:r>
      <w:r>
        <w:rPr>
          <w:rStyle w:val="Rimandonotaapidipagina"/>
          <w:rFonts w:ascii="Times New Roman" w:hAnsi="Times New Roman" w:cs="Times New Roman"/>
          <w:sz w:val="24"/>
          <w:szCs w:val="24"/>
        </w:rPr>
        <w:footnoteReference w:id="2"/>
      </w:r>
      <w:r w:rsidR="00F23922">
        <w:rPr>
          <w:rFonts w:ascii="Times New Roman" w:hAnsi="Times New Roman" w:cs="Times New Roman"/>
          <w:sz w:val="24"/>
          <w:szCs w:val="24"/>
        </w:rPr>
        <w:t>.</w:t>
      </w:r>
      <w:r w:rsidRPr="008B53D9">
        <w:rPr>
          <w:rFonts w:ascii="Times New Roman" w:hAnsi="Times New Roman" w:cs="Times New Roman"/>
          <w:sz w:val="24"/>
          <w:szCs w:val="24"/>
        </w:rPr>
        <w:t xml:space="preserve"> </w:t>
      </w:r>
      <w:r w:rsidR="00F23922">
        <w:rPr>
          <w:rFonts w:ascii="Times New Roman" w:hAnsi="Times New Roman" w:cs="Times New Roman"/>
          <w:sz w:val="24"/>
          <w:szCs w:val="24"/>
        </w:rPr>
        <w:t xml:space="preserve">Tale affermazione, tuttavia, come ha sottolineato lo stesso Giudice delle Leggi, non legittima un primato assoluto, </w:t>
      </w:r>
      <w:r w:rsidR="00F23922">
        <w:rPr>
          <w:rFonts w:ascii="Times New Roman" w:hAnsi="Times New Roman" w:cs="Times New Roman"/>
          <w:sz w:val="24"/>
          <w:szCs w:val="24"/>
        </w:rPr>
        <w:lastRenderedPageBreak/>
        <w:t>ma determina la necessità che, in loro presenza, il legislatore e le pubbliche amministrazioni debbano sempre e necessariamente effettuare un concreto bilanciamento, attraverso la rappresentazione (“</w:t>
      </w:r>
      <w:r w:rsidR="00F23922" w:rsidRPr="00A379F6">
        <w:rPr>
          <w:rFonts w:ascii="Times New Roman" w:hAnsi="Times New Roman" w:cs="Times New Roman"/>
          <w:i/>
          <w:sz w:val="24"/>
          <w:szCs w:val="24"/>
        </w:rPr>
        <w:t>esplicita e concreta</w:t>
      </w:r>
      <w:r w:rsidR="00F23922">
        <w:rPr>
          <w:rFonts w:ascii="Times New Roman" w:hAnsi="Times New Roman" w:cs="Times New Roman"/>
          <w:sz w:val="24"/>
          <w:szCs w:val="24"/>
        </w:rPr>
        <w:t>”) di tali interessi nei processi decisionali</w:t>
      </w:r>
      <w:r w:rsidR="00F23922">
        <w:rPr>
          <w:rStyle w:val="Rimandonotaapidipagina"/>
          <w:rFonts w:ascii="Times New Roman" w:hAnsi="Times New Roman" w:cs="Times New Roman"/>
          <w:sz w:val="24"/>
          <w:szCs w:val="24"/>
        </w:rPr>
        <w:footnoteReference w:id="3"/>
      </w:r>
      <w:r w:rsidR="00F23922">
        <w:rPr>
          <w:rFonts w:ascii="Times New Roman" w:hAnsi="Times New Roman" w:cs="Times New Roman"/>
          <w:sz w:val="24"/>
          <w:szCs w:val="24"/>
        </w:rPr>
        <w:t xml:space="preserve">. </w:t>
      </w:r>
      <w:r w:rsidR="00466D39">
        <w:rPr>
          <w:rFonts w:ascii="Times New Roman" w:hAnsi="Times New Roman" w:cs="Times New Roman"/>
          <w:sz w:val="24"/>
          <w:szCs w:val="24"/>
        </w:rPr>
        <w:t>Da ciò consegue che essi non possono e non devono ess</w:t>
      </w:r>
      <w:r w:rsidR="0059162F">
        <w:rPr>
          <w:rFonts w:ascii="Times New Roman" w:hAnsi="Times New Roman" w:cs="Times New Roman"/>
          <w:sz w:val="24"/>
          <w:szCs w:val="24"/>
        </w:rPr>
        <w:t xml:space="preserve">ere sacrificati, ma </w:t>
      </w:r>
      <w:r w:rsidR="0025397D">
        <w:rPr>
          <w:rFonts w:ascii="Times New Roman" w:hAnsi="Times New Roman" w:cs="Times New Roman"/>
          <w:sz w:val="24"/>
          <w:szCs w:val="24"/>
        </w:rPr>
        <w:t xml:space="preserve">che </w:t>
      </w:r>
      <w:r w:rsidR="0059162F">
        <w:rPr>
          <w:rFonts w:ascii="Times New Roman" w:hAnsi="Times New Roman" w:cs="Times New Roman"/>
          <w:sz w:val="24"/>
          <w:szCs w:val="24"/>
        </w:rPr>
        <w:t>è necessaria</w:t>
      </w:r>
      <w:r w:rsidR="00466D39">
        <w:rPr>
          <w:rFonts w:ascii="Times New Roman" w:hAnsi="Times New Roman" w:cs="Times New Roman"/>
          <w:sz w:val="24"/>
          <w:szCs w:val="24"/>
        </w:rPr>
        <w:t xml:space="preserve"> </w:t>
      </w:r>
      <w:r w:rsidR="0059162F">
        <w:rPr>
          <w:rFonts w:ascii="Times New Roman" w:hAnsi="Times New Roman" w:cs="Times New Roman"/>
          <w:sz w:val="24"/>
          <w:szCs w:val="24"/>
        </w:rPr>
        <w:t>l’individuazione di</w:t>
      </w:r>
      <w:r w:rsidR="00466D39">
        <w:rPr>
          <w:rFonts w:ascii="Times New Roman" w:hAnsi="Times New Roman" w:cs="Times New Roman"/>
          <w:sz w:val="24"/>
          <w:szCs w:val="24"/>
        </w:rPr>
        <w:t xml:space="preserve"> un punto di equilibrio “</w:t>
      </w:r>
      <w:r w:rsidR="00466D39" w:rsidRPr="00A379F6">
        <w:rPr>
          <w:rFonts w:ascii="Times New Roman" w:hAnsi="Times New Roman" w:cs="Times New Roman"/>
          <w:i/>
          <w:sz w:val="24"/>
          <w:szCs w:val="24"/>
        </w:rPr>
        <w:t>secondo criteri di proporzionalità e di ragionevolezza</w:t>
      </w:r>
      <w:r w:rsidR="00466D39">
        <w:rPr>
          <w:rFonts w:ascii="Times New Roman" w:hAnsi="Times New Roman" w:cs="Times New Roman"/>
          <w:sz w:val="24"/>
          <w:szCs w:val="24"/>
        </w:rPr>
        <w:t>” che ha la funzione di impedire che non venga “intaccato” il loro nucleo essenziale</w:t>
      </w:r>
      <w:r w:rsidR="00466D39">
        <w:rPr>
          <w:rStyle w:val="Rimandonotaapidipagina"/>
          <w:rFonts w:ascii="Times New Roman" w:hAnsi="Times New Roman" w:cs="Times New Roman"/>
          <w:sz w:val="24"/>
          <w:szCs w:val="24"/>
        </w:rPr>
        <w:footnoteReference w:id="4"/>
      </w:r>
      <w:r w:rsidR="00466D39">
        <w:rPr>
          <w:rFonts w:ascii="Times New Roman" w:hAnsi="Times New Roman" w:cs="Times New Roman"/>
          <w:sz w:val="24"/>
          <w:szCs w:val="24"/>
        </w:rPr>
        <w:t>.</w:t>
      </w:r>
    </w:p>
    <w:p w:rsidR="00466D39" w:rsidRDefault="00105392" w:rsidP="008B53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 bilanciamento vieppiù necessario in presenza di un principio di rango costituzionale, quale quello della libertà della iniziativa economica privata, di cui </w:t>
      </w:r>
      <w:r w:rsidR="00966356">
        <w:rPr>
          <w:rFonts w:ascii="Times New Roman" w:hAnsi="Times New Roman" w:cs="Times New Roman"/>
          <w:sz w:val="24"/>
          <w:szCs w:val="24"/>
        </w:rPr>
        <w:t>la SCIA è strumento.</w:t>
      </w:r>
    </w:p>
    <w:p w:rsidR="00466D39" w:rsidRDefault="00105392" w:rsidP="009663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“primarietà” di tali interessi trova esplicita tutela</w:t>
      </w:r>
      <w:r w:rsidR="00966356">
        <w:rPr>
          <w:rFonts w:ascii="Times New Roman" w:hAnsi="Times New Roman" w:cs="Times New Roman"/>
          <w:sz w:val="24"/>
          <w:szCs w:val="24"/>
        </w:rPr>
        <w:t xml:space="preserve"> anche nella disciplina europea. Basti, a tal proposito, il riferimento </w:t>
      </w:r>
      <w:r w:rsidR="00A855A6">
        <w:rPr>
          <w:rFonts w:ascii="Times New Roman" w:hAnsi="Times New Roman" w:cs="Times New Roman"/>
          <w:sz w:val="24"/>
          <w:szCs w:val="24"/>
        </w:rPr>
        <w:t>alla</w:t>
      </w:r>
      <w:r w:rsidR="00966356">
        <w:rPr>
          <w:rFonts w:ascii="Times New Roman" w:hAnsi="Times New Roman" w:cs="Times New Roman"/>
          <w:sz w:val="24"/>
          <w:szCs w:val="24"/>
        </w:rPr>
        <w:t xml:space="preserve"> </w:t>
      </w:r>
      <w:r w:rsidR="0025397D">
        <w:rPr>
          <w:rFonts w:ascii="Times New Roman" w:hAnsi="Times New Roman" w:cs="Times New Roman"/>
          <w:sz w:val="24"/>
          <w:szCs w:val="24"/>
        </w:rPr>
        <w:t>Direttiva</w:t>
      </w:r>
      <w:r w:rsidR="00966356">
        <w:rPr>
          <w:rFonts w:ascii="Times New Roman" w:hAnsi="Times New Roman" w:cs="Times New Roman"/>
          <w:sz w:val="24"/>
          <w:szCs w:val="24"/>
        </w:rPr>
        <w:t xml:space="preserve"> </w:t>
      </w:r>
      <w:r w:rsidR="00A855A6">
        <w:rPr>
          <w:rFonts w:ascii="Times New Roman" w:hAnsi="Times New Roman" w:cs="Times New Roman"/>
          <w:sz w:val="24"/>
          <w:szCs w:val="24"/>
        </w:rPr>
        <w:t>relativa ai servizi del mercato interno</w:t>
      </w:r>
      <w:r w:rsidR="00966356">
        <w:rPr>
          <w:rFonts w:ascii="Times New Roman" w:hAnsi="Times New Roman" w:cs="Times New Roman"/>
          <w:sz w:val="24"/>
          <w:szCs w:val="24"/>
        </w:rPr>
        <w:t xml:space="preserve"> (Direttiva 2006/123/CE</w:t>
      </w:r>
      <w:r w:rsidR="00A855A6">
        <w:rPr>
          <w:rFonts w:ascii="Times New Roman" w:hAnsi="Times New Roman" w:cs="Times New Roman"/>
          <w:sz w:val="24"/>
          <w:szCs w:val="24"/>
        </w:rPr>
        <w:t xml:space="preserve">) </w:t>
      </w:r>
      <w:r w:rsidR="00966356">
        <w:rPr>
          <w:rFonts w:ascii="Times New Roman" w:hAnsi="Times New Roman" w:cs="Times New Roman"/>
          <w:sz w:val="24"/>
          <w:szCs w:val="24"/>
        </w:rPr>
        <w:t>ed in particolare al 56° Considerando, in virtù del quale “</w:t>
      </w:r>
      <w:r w:rsidR="00466D39" w:rsidRPr="006B1C43">
        <w:rPr>
          <w:rFonts w:ascii="Times New Roman" w:hAnsi="Times New Roman" w:cs="Times New Roman"/>
          <w:i/>
          <w:sz w:val="24"/>
          <w:szCs w:val="24"/>
        </w:rPr>
        <w:t>la sanità pubblica, la tutela dei consumatori, la salute degli animali e la protezione dell'ambiente urbano costituiscono motivi imperativi di interesse generale. Tali motivi imperativi possono giustificare l'applicazione di regimi di autorizzazione e altre restrizion</w:t>
      </w:r>
      <w:r w:rsidR="00466D39" w:rsidRPr="00FC306A">
        <w:rPr>
          <w:rFonts w:ascii="Times New Roman" w:hAnsi="Times New Roman" w:cs="Times New Roman"/>
          <w:sz w:val="24"/>
          <w:szCs w:val="24"/>
        </w:rPr>
        <w:t>i", nel rispetto</w:t>
      </w:r>
      <w:r w:rsidR="00966356">
        <w:rPr>
          <w:rFonts w:ascii="Times New Roman" w:hAnsi="Times New Roman" w:cs="Times New Roman"/>
          <w:sz w:val="24"/>
          <w:szCs w:val="24"/>
        </w:rPr>
        <w:t>, oltre che del principio di non discriminazione in base alla nazionalità,</w:t>
      </w:r>
      <w:r w:rsidR="00466D39" w:rsidRPr="00FC306A">
        <w:rPr>
          <w:rFonts w:ascii="Times New Roman" w:hAnsi="Times New Roman" w:cs="Times New Roman"/>
          <w:sz w:val="24"/>
          <w:szCs w:val="24"/>
        </w:rPr>
        <w:t xml:space="preserve"> dei</w:t>
      </w:r>
      <w:r w:rsidR="00466D39">
        <w:rPr>
          <w:rFonts w:ascii="Times New Roman" w:hAnsi="Times New Roman" w:cs="Times New Roman"/>
          <w:sz w:val="24"/>
          <w:szCs w:val="24"/>
        </w:rPr>
        <w:t xml:space="preserve"> </w:t>
      </w:r>
      <w:r w:rsidR="00466D39" w:rsidRPr="00FC306A">
        <w:rPr>
          <w:rFonts w:ascii="Times New Roman" w:hAnsi="Times New Roman" w:cs="Times New Roman"/>
          <w:sz w:val="24"/>
          <w:szCs w:val="24"/>
        </w:rPr>
        <w:t>"</w:t>
      </w:r>
      <w:r w:rsidR="00466D39" w:rsidRPr="006B1C43">
        <w:rPr>
          <w:rFonts w:ascii="Times New Roman" w:hAnsi="Times New Roman" w:cs="Times New Roman"/>
          <w:i/>
          <w:sz w:val="24"/>
          <w:szCs w:val="24"/>
        </w:rPr>
        <w:t>principi di necessità e proporzionalità</w:t>
      </w:r>
      <w:r w:rsidR="00466D39" w:rsidRPr="00FC306A">
        <w:rPr>
          <w:rFonts w:ascii="Times New Roman" w:hAnsi="Times New Roman" w:cs="Times New Roman"/>
          <w:sz w:val="24"/>
          <w:szCs w:val="24"/>
        </w:rPr>
        <w:t>"</w:t>
      </w:r>
      <w:r w:rsidR="00966356">
        <w:rPr>
          <w:rFonts w:ascii="Times New Roman" w:hAnsi="Times New Roman" w:cs="Times New Roman"/>
          <w:sz w:val="24"/>
          <w:szCs w:val="24"/>
        </w:rPr>
        <w:t>.</w:t>
      </w:r>
    </w:p>
    <w:p w:rsidR="00A855A6" w:rsidRDefault="0059162F" w:rsidP="00A855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Una enunciazione, come del resto espressamente chiarito nello stesso Considerando, conforme alle pronunce dell</w:t>
      </w:r>
      <w:r w:rsidR="007C3796">
        <w:rPr>
          <w:rFonts w:ascii="Times New Roman" w:hAnsi="Times New Roman" w:cs="Times New Roman"/>
          <w:sz w:val="24"/>
          <w:szCs w:val="24"/>
        </w:rPr>
        <w:t xml:space="preserve">a Corte di Giustizia, che deve essere letta </w:t>
      </w:r>
      <w:r w:rsidR="00B534CE">
        <w:rPr>
          <w:rFonts w:ascii="Times New Roman" w:hAnsi="Times New Roman" w:cs="Times New Roman"/>
          <w:sz w:val="24"/>
          <w:szCs w:val="24"/>
        </w:rPr>
        <w:t xml:space="preserve">e coordinata con </w:t>
      </w:r>
      <w:r w:rsidR="007C3796">
        <w:rPr>
          <w:rFonts w:ascii="Times New Roman" w:hAnsi="Times New Roman" w:cs="Times New Roman"/>
          <w:sz w:val="24"/>
          <w:szCs w:val="24"/>
        </w:rPr>
        <w:t xml:space="preserve">quanto sancito nel 43° Considerando, secondo il quale è necessario stabilire principi di semplificazione amministrativa che prevedano </w:t>
      </w:r>
      <w:r w:rsidR="00A855A6">
        <w:rPr>
          <w:rFonts w:ascii="Times New Roman" w:hAnsi="Times New Roman" w:cs="Times New Roman"/>
          <w:sz w:val="24"/>
          <w:szCs w:val="24"/>
        </w:rPr>
        <w:t xml:space="preserve">“[…] </w:t>
      </w:r>
      <w:r w:rsidR="00A855A6" w:rsidRPr="006B1C43">
        <w:rPr>
          <w:rFonts w:ascii="Times New Roman" w:hAnsi="Times New Roman" w:cs="Times New Roman"/>
          <w:i/>
          <w:sz w:val="24"/>
          <w:szCs w:val="24"/>
        </w:rPr>
        <w:t>la limitazione dell’obbligo di autorizzazione preliminare ai casi in cui essa è indispensabile e l’introduzione del principio della tacita autorizzazione da parte delle autorità competenti allo scadere di un determinato termine</w:t>
      </w:r>
      <w:r w:rsidR="00A855A6">
        <w:rPr>
          <w:rFonts w:ascii="Times New Roman" w:hAnsi="Times New Roman" w:cs="Times New Roman"/>
          <w:sz w:val="24"/>
          <w:szCs w:val="24"/>
        </w:rPr>
        <w:t xml:space="preserve"> […]”</w:t>
      </w:r>
      <w:r w:rsidR="007C3796">
        <w:rPr>
          <w:rFonts w:ascii="Times New Roman" w:hAnsi="Times New Roman" w:cs="Times New Roman"/>
          <w:sz w:val="24"/>
          <w:szCs w:val="24"/>
        </w:rPr>
        <w:t>.</w:t>
      </w:r>
    </w:p>
    <w:p w:rsidR="00B534CE" w:rsidRPr="00A855A6" w:rsidRDefault="00B534CE" w:rsidP="00A855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legislatore nazionale, dunque, può, in presenza di motivi imperativi di interesse generale, prevedere l’applicazione di regimi </w:t>
      </w:r>
      <w:proofErr w:type="spellStart"/>
      <w:r>
        <w:rPr>
          <w:rFonts w:ascii="Times New Roman" w:hAnsi="Times New Roman" w:cs="Times New Roman"/>
          <w:sz w:val="24"/>
          <w:szCs w:val="24"/>
        </w:rPr>
        <w:t>autorizzatori</w:t>
      </w:r>
      <w:proofErr w:type="spellEnd"/>
      <w:r>
        <w:rPr>
          <w:rFonts w:ascii="Times New Roman" w:hAnsi="Times New Roman" w:cs="Times New Roman"/>
          <w:sz w:val="24"/>
          <w:szCs w:val="24"/>
        </w:rPr>
        <w:t xml:space="preserve"> o altre restrizioni, ma, in </w:t>
      </w:r>
      <w:r>
        <w:rPr>
          <w:rFonts w:ascii="Times New Roman" w:hAnsi="Times New Roman" w:cs="Times New Roman"/>
          <w:sz w:val="24"/>
          <w:szCs w:val="24"/>
        </w:rPr>
        <w:lastRenderedPageBreak/>
        <w:t xml:space="preserve">astratto, può prevedere, anche per queste ipotesi, </w:t>
      </w:r>
      <w:r w:rsidR="003E3469">
        <w:rPr>
          <w:rFonts w:ascii="Times New Roman" w:hAnsi="Times New Roman" w:cs="Times New Roman"/>
          <w:sz w:val="24"/>
          <w:szCs w:val="24"/>
        </w:rPr>
        <w:t>l’</w:t>
      </w:r>
      <w:r>
        <w:rPr>
          <w:rFonts w:ascii="Times New Roman" w:hAnsi="Times New Roman" w:cs="Times New Roman"/>
          <w:sz w:val="24"/>
          <w:szCs w:val="24"/>
        </w:rPr>
        <w:t xml:space="preserve">autorizzazione tacita (silenzio assenso) e, comunque, limitare l’utilizzo dell’obbligo del provvedimento </w:t>
      </w:r>
      <w:proofErr w:type="spellStart"/>
      <w:r>
        <w:rPr>
          <w:rFonts w:ascii="Times New Roman" w:hAnsi="Times New Roman" w:cs="Times New Roman"/>
          <w:sz w:val="24"/>
          <w:szCs w:val="24"/>
        </w:rPr>
        <w:t>autorizzatorio</w:t>
      </w:r>
      <w:proofErr w:type="spellEnd"/>
      <w:r>
        <w:rPr>
          <w:rFonts w:ascii="Times New Roman" w:hAnsi="Times New Roman" w:cs="Times New Roman"/>
          <w:sz w:val="24"/>
          <w:szCs w:val="24"/>
        </w:rPr>
        <w:t xml:space="preserve">, fatti salvi i casi in cui la normativa, europea o nazionale, preveda, per una </w:t>
      </w:r>
      <w:r w:rsidR="003E3469">
        <w:rPr>
          <w:rFonts w:ascii="Times New Roman" w:hAnsi="Times New Roman" w:cs="Times New Roman"/>
          <w:sz w:val="24"/>
          <w:szCs w:val="24"/>
        </w:rPr>
        <w:t>materia “sensibile”</w:t>
      </w:r>
      <w:r>
        <w:rPr>
          <w:rFonts w:ascii="Times New Roman" w:hAnsi="Times New Roman" w:cs="Times New Roman"/>
          <w:sz w:val="24"/>
          <w:szCs w:val="24"/>
        </w:rPr>
        <w:t>, l’emanazio</w:t>
      </w:r>
      <w:r w:rsidR="003E3469">
        <w:rPr>
          <w:rFonts w:ascii="Times New Roman" w:hAnsi="Times New Roman" w:cs="Times New Roman"/>
          <w:sz w:val="24"/>
          <w:szCs w:val="24"/>
        </w:rPr>
        <w:t>ne di un provvedimento espresso, giustificato, appunto, dalla qualificazione di tale materia come valore primario/motivo imperativo di interesse generale.</w:t>
      </w:r>
    </w:p>
    <w:p w:rsidR="00D11DDD" w:rsidRDefault="009D16FA" w:rsidP="00C44F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Passando </w:t>
      </w:r>
      <w:r w:rsidR="00A379F6">
        <w:rPr>
          <w:rFonts w:ascii="Times New Roman" w:hAnsi="Times New Roman" w:cs="Times New Roman"/>
          <w:sz w:val="24"/>
          <w:szCs w:val="24"/>
        </w:rPr>
        <w:t>alla</w:t>
      </w:r>
      <w:r>
        <w:rPr>
          <w:rFonts w:ascii="Times New Roman" w:hAnsi="Times New Roman" w:cs="Times New Roman"/>
          <w:sz w:val="24"/>
          <w:szCs w:val="24"/>
        </w:rPr>
        <w:t xml:space="preserve"> disciplina introdotta dalla Legge di riforma del 2015, l’esame del testo della legge delega </w:t>
      </w:r>
      <w:r w:rsidR="0059635E">
        <w:rPr>
          <w:rFonts w:ascii="Times New Roman" w:hAnsi="Times New Roman" w:cs="Times New Roman"/>
          <w:sz w:val="24"/>
          <w:szCs w:val="24"/>
        </w:rPr>
        <w:t xml:space="preserve">porta a concludere che, </w:t>
      </w:r>
      <w:r w:rsidR="009A6EC1">
        <w:rPr>
          <w:rFonts w:ascii="Times New Roman" w:hAnsi="Times New Roman" w:cs="Times New Roman"/>
          <w:sz w:val="24"/>
          <w:szCs w:val="24"/>
        </w:rPr>
        <w:t xml:space="preserve">in sostanza, stante il richiamo </w:t>
      </w:r>
      <w:r>
        <w:rPr>
          <w:rFonts w:ascii="Times New Roman" w:hAnsi="Times New Roman" w:cs="Times New Roman"/>
          <w:sz w:val="24"/>
          <w:szCs w:val="24"/>
        </w:rPr>
        <w:t xml:space="preserve">ai </w:t>
      </w:r>
      <w:r w:rsidRPr="009D16FA">
        <w:rPr>
          <w:rFonts w:ascii="Times New Roman" w:hAnsi="Times New Roman" w:cs="Times New Roman"/>
          <w:sz w:val="24"/>
          <w:szCs w:val="24"/>
        </w:rPr>
        <w:t xml:space="preserve">principi e criteri direttivi desumibili </w:t>
      </w:r>
      <w:r>
        <w:rPr>
          <w:rFonts w:ascii="Times New Roman" w:hAnsi="Times New Roman" w:cs="Times New Roman"/>
          <w:sz w:val="24"/>
          <w:szCs w:val="24"/>
        </w:rPr>
        <w:t>dall’art. 19</w:t>
      </w:r>
      <w:r w:rsidRPr="009D16FA">
        <w:rPr>
          <w:rFonts w:ascii="Times New Roman" w:hAnsi="Times New Roman" w:cs="Times New Roman"/>
          <w:sz w:val="24"/>
          <w:szCs w:val="24"/>
        </w:rPr>
        <w:t xml:space="preserve">, </w:t>
      </w:r>
      <w:r>
        <w:rPr>
          <w:rFonts w:ascii="Times New Roman" w:hAnsi="Times New Roman" w:cs="Times New Roman"/>
          <w:sz w:val="24"/>
          <w:szCs w:val="24"/>
        </w:rPr>
        <w:t>ai</w:t>
      </w:r>
      <w:r w:rsidRPr="009D16FA">
        <w:rPr>
          <w:rFonts w:ascii="Times New Roman" w:hAnsi="Times New Roman" w:cs="Times New Roman"/>
          <w:sz w:val="24"/>
          <w:szCs w:val="24"/>
        </w:rPr>
        <w:t xml:space="preserve"> principi del diritto dell'Unione europea relativi all'accesso</w:t>
      </w:r>
      <w:r>
        <w:rPr>
          <w:rFonts w:ascii="Times New Roman" w:hAnsi="Times New Roman" w:cs="Times New Roman"/>
          <w:sz w:val="24"/>
          <w:szCs w:val="24"/>
        </w:rPr>
        <w:t xml:space="preserve"> alle attività di servizi ed ai </w:t>
      </w:r>
      <w:r w:rsidRPr="009D16FA">
        <w:rPr>
          <w:rFonts w:ascii="Times New Roman" w:hAnsi="Times New Roman" w:cs="Times New Roman"/>
          <w:sz w:val="24"/>
          <w:szCs w:val="24"/>
        </w:rPr>
        <w:t>principi di ragionevolezza e proporzionalit</w:t>
      </w:r>
      <w:r>
        <w:rPr>
          <w:rFonts w:ascii="Times New Roman" w:hAnsi="Times New Roman" w:cs="Times New Roman"/>
          <w:sz w:val="24"/>
          <w:szCs w:val="24"/>
        </w:rPr>
        <w:t>à,</w:t>
      </w:r>
      <w:r w:rsidR="009A6EC1">
        <w:rPr>
          <w:rFonts w:ascii="Times New Roman" w:hAnsi="Times New Roman" w:cs="Times New Roman"/>
          <w:sz w:val="24"/>
          <w:szCs w:val="24"/>
        </w:rPr>
        <w:t xml:space="preserve"> gli interessi sensibili “resistono” alla riforma, anche alla luce della modifica dell’art. 21 </w:t>
      </w:r>
      <w:r w:rsidR="00F47E95">
        <w:rPr>
          <w:rFonts w:ascii="Times New Roman" w:hAnsi="Times New Roman" w:cs="Times New Roman"/>
          <w:sz w:val="24"/>
          <w:szCs w:val="24"/>
        </w:rPr>
        <w:t>e dell’art. 21-</w:t>
      </w:r>
      <w:r w:rsidR="009A6EC1">
        <w:rPr>
          <w:rFonts w:ascii="Times New Roman" w:hAnsi="Times New Roman" w:cs="Times New Roman"/>
          <w:sz w:val="24"/>
          <w:szCs w:val="24"/>
        </w:rPr>
        <w:t>nonies.</w:t>
      </w:r>
    </w:p>
    <w:p w:rsidR="00552EE1" w:rsidRDefault="009A6EC1" w:rsidP="00C44F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Tale ultima disposizione</w:t>
      </w:r>
      <w:r w:rsidR="0025397D">
        <w:rPr>
          <w:rFonts w:ascii="Times New Roman" w:hAnsi="Times New Roman" w:cs="Times New Roman"/>
          <w:sz w:val="24"/>
          <w:szCs w:val="24"/>
        </w:rPr>
        <w:t>, infatti,</w:t>
      </w:r>
      <w:r w:rsidR="00E70A57">
        <w:rPr>
          <w:rFonts w:ascii="Times New Roman" w:hAnsi="Times New Roman" w:cs="Times New Roman"/>
          <w:sz w:val="24"/>
          <w:szCs w:val="24"/>
        </w:rPr>
        <w:t xml:space="preserve"> </w:t>
      </w:r>
      <w:r>
        <w:rPr>
          <w:rFonts w:ascii="Times New Roman" w:hAnsi="Times New Roman" w:cs="Times New Roman"/>
          <w:sz w:val="24"/>
          <w:szCs w:val="24"/>
        </w:rPr>
        <w:t>compie una equiparazione tra interessi sensibili e interessi per così dire “ordinari” quanto al termine di esercizio dei poteri, inibitori repressivi e conformativi, di cui al comma 3 dell’</w:t>
      </w:r>
      <w:r w:rsidR="00D11DDD">
        <w:rPr>
          <w:rFonts w:ascii="Times New Roman" w:hAnsi="Times New Roman" w:cs="Times New Roman"/>
          <w:sz w:val="24"/>
          <w:szCs w:val="24"/>
        </w:rPr>
        <w:t>art. 19</w:t>
      </w:r>
      <w:r w:rsidR="00E70A57">
        <w:rPr>
          <w:rStyle w:val="Rimandonotaapidipagina"/>
          <w:rFonts w:ascii="Times New Roman" w:hAnsi="Times New Roman" w:cs="Times New Roman"/>
          <w:sz w:val="24"/>
          <w:szCs w:val="24"/>
        </w:rPr>
        <w:footnoteReference w:id="5"/>
      </w:r>
      <w:r w:rsidR="00D11DDD">
        <w:rPr>
          <w:rFonts w:ascii="Times New Roman" w:hAnsi="Times New Roman" w:cs="Times New Roman"/>
          <w:sz w:val="24"/>
          <w:szCs w:val="24"/>
        </w:rPr>
        <w:t xml:space="preserve">, operando </w:t>
      </w:r>
      <w:r>
        <w:rPr>
          <w:rFonts w:ascii="Times New Roman" w:hAnsi="Times New Roman" w:cs="Times New Roman"/>
          <w:sz w:val="24"/>
          <w:szCs w:val="24"/>
        </w:rPr>
        <w:t>un ampliamento della tutela degli interessi ordinari</w:t>
      </w:r>
      <w:r w:rsidR="00D11DDD">
        <w:rPr>
          <w:rFonts w:ascii="Times New Roman" w:hAnsi="Times New Roman" w:cs="Times New Roman"/>
          <w:sz w:val="24"/>
          <w:szCs w:val="24"/>
        </w:rPr>
        <w:t xml:space="preserve"> e non una restrizione della tutela degli interessi sensibili. </w:t>
      </w:r>
      <w:r w:rsidR="00CE7BB3">
        <w:rPr>
          <w:rFonts w:ascii="Times New Roman" w:hAnsi="Times New Roman" w:cs="Times New Roman"/>
          <w:sz w:val="24"/>
          <w:szCs w:val="24"/>
        </w:rPr>
        <w:t>Questa</w:t>
      </w:r>
      <w:r w:rsidR="003D4261">
        <w:rPr>
          <w:rFonts w:ascii="Times New Roman" w:hAnsi="Times New Roman" w:cs="Times New Roman"/>
          <w:sz w:val="24"/>
          <w:szCs w:val="24"/>
        </w:rPr>
        <w:t xml:space="preserve"> soluzione non sembra in contrasto con la </w:t>
      </w:r>
      <w:r w:rsidR="00966356">
        <w:rPr>
          <w:rFonts w:ascii="Times New Roman" w:hAnsi="Times New Roman" w:cs="Times New Roman"/>
          <w:sz w:val="24"/>
          <w:szCs w:val="24"/>
        </w:rPr>
        <w:t>normativa</w:t>
      </w:r>
      <w:r w:rsidR="003D4261">
        <w:rPr>
          <w:rFonts w:ascii="Times New Roman" w:hAnsi="Times New Roman" w:cs="Times New Roman"/>
          <w:sz w:val="24"/>
          <w:szCs w:val="24"/>
        </w:rPr>
        <w:t xml:space="preserve"> europea</w:t>
      </w:r>
      <w:r w:rsidR="00966356">
        <w:rPr>
          <w:rFonts w:ascii="Times New Roman" w:hAnsi="Times New Roman" w:cs="Times New Roman"/>
          <w:sz w:val="24"/>
          <w:szCs w:val="24"/>
        </w:rPr>
        <w:t xml:space="preserve"> in precedenza richiamata</w:t>
      </w:r>
      <w:r w:rsidR="003D4261">
        <w:rPr>
          <w:rFonts w:ascii="Times New Roman" w:hAnsi="Times New Roman" w:cs="Times New Roman"/>
          <w:sz w:val="24"/>
          <w:szCs w:val="24"/>
        </w:rPr>
        <w:t>, ed in particolare con</w:t>
      </w:r>
      <w:r w:rsidR="00966356">
        <w:rPr>
          <w:rFonts w:ascii="Times New Roman" w:hAnsi="Times New Roman" w:cs="Times New Roman"/>
          <w:sz w:val="24"/>
          <w:szCs w:val="24"/>
        </w:rPr>
        <w:t xml:space="preserve"> il 56° considerando della </w:t>
      </w:r>
      <w:r w:rsidR="003D4261">
        <w:rPr>
          <w:rFonts w:ascii="Times New Roman" w:hAnsi="Times New Roman" w:cs="Times New Roman"/>
          <w:sz w:val="24"/>
          <w:szCs w:val="24"/>
        </w:rPr>
        <w:t>c.d. Direttiva Servizi</w:t>
      </w:r>
      <w:r w:rsidR="00966356">
        <w:rPr>
          <w:rFonts w:ascii="Times New Roman" w:hAnsi="Times New Roman" w:cs="Times New Roman"/>
          <w:sz w:val="24"/>
          <w:szCs w:val="24"/>
        </w:rPr>
        <w:t>.</w:t>
      </w:r>
      <w:r w:rsidR="003D4261">
        <w:rPr>
          <w:rFonts w:ascii="Times New Roman" w:hAnsi="Times New Roman" w:cs="Times New Roman"/>
          <w:sz w:val="24"/>
          <w:szCs w:val="24"/>
        </w:rPr>
        <w:t xml:space="preserve"> Ma anzi, la fissazione del limite temporale massimo di 18 mesi appare conforme ai principi di necessità e proporzionalità richi</w:t>
      </w:r>
      <w:r w:rsidR="00054EF5">
        <w:rPr>
          <w:rFonts w:ascii="Times New Roman" w:hAnsi="Times New Roman" w:cs="Times New Roman"/>
          <w:sz w:val="24"/>
          <w:szCs w:val="24"/>
        </w:rPr>
        <w:t>amati dallo stesso considerando</w:t>
      </w:r>
      <w:r w:rsidR="0025397D">
        <w:rPr>
          <w:rStyle w:val="Rimandonotaapidipagina"/>
          <w:rFonts w:ascii="Times New Roman" w:hAnsi="Times New Roman" w:cs="Times New Roman"/>
          <w:sz w:val="24"/>
          <w:szCs w:val="24"/>
        </w:rPr>
        <w:footnoteReference w:id="6"/>
      </w:r>
      <w:r w:rsidR="00365BE1">
        <w:rPr>
          <w:rFonts w:ascii="Times New Roman" w:hAnsi="Times New Roman" w:cs="Times New Roman"/>
          <w:sz w:val="24"/>
          <w:szCs w:val="24"/>
        </w:rPr>
        <w:t>.</w:t>
      </w:r>
    </w:p>
    <w:p w:rsidR="0059635E" w:rsidRDefault="0059635E" w:rsidP="00C44F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Così come </w:t>
      </w:r>
      <w:r w:rsidR="001C7820">
        <w:rPr>
          <w:rFonts w:ascii="Times New Roman" w:hAnsi="Times New Roman" w:cs="Times New Roman"/>
          <w:sz w:val="24"/>
          <w:szCs w:val="24"/>
        </w:rPr>
        <w:t>sembrerebbe</w:t>
      </w:r>
      <w:r w:rsidR="00CE7BB3">
        <w:rPr>
          <w:rFonts w:ascii="Times New Roman" w:hAnsi="Times New Roman" w:cs="Times New Roman"/>
          <w:sz w:val="24"/>
          <w:szCs w:val="24"/>
        </w:rPr>
        <w:t>, in astratto,</w:t>
      </w:r>
      <w:r>
        <w:rPr>
          <w:rFonts w:ascii="Times New Roman" w:hAnsi="Times New Roman" w:cs="Times New Roman"/>
          <w:sz w:val="24"/>
          <w:szCs w:val="24"/>
        </w:rPr>
        <w:t xml:space="preserve"> rispettosa dei limiti derivanti dalla disciplina europea e nazionale e dalla interpretazione ad essa data dalle decisioni della Corte di </w:t>
      </w:r>
      <w:r>
        <w:rPr>
          <w:rFonts w:ascii="Times New Roman" w:hAnsi="Times New Roman" w:cs="Times New Roman"/>
          <w:sz w:val="24"/>
          <w:szCs w:val="24"/>
        </w:rPr>
        <w:lastRenderedPageBreak/>
        <w:t xml:space="preserve">Giustizia UE e dalla Corte Costituzionale la disciplina che si desume dal testo del decreto attuativo ad oggi approvato, </w:t>
      </w:r>
      <w:r w:rsidR="00344C27">
        <w:rPr>
          <w:rFonts w:ascii="Times New Roman" w:hAnsi="Times New Roman" w:cs="Times New Roman"/>
          <w:sz w:val="24"/>
          <w:szCs w:val="24"/>
        </w:rPr>
        <w:t>recante la disciplina applicabile alle attività private non soggette ad autorizzazione espressa</w:t>
      </w:r>
      <w:r w:rsidR="00A5348B">
        <w:rPr>
          <w:rFonts w:ascii="Times New Roman" w:hAnsi="Times New Roman" w:cs="Times New Roman"/>
          <w:sz w:val="24"/>
          <w:szCs w:val="24"/>
        </w:rPr>
        <w:t xml:space="preserve">. </w:t>
      </w:r>
    </w:p>
    <w:p w:rsidR="00C44F00" w:rsidRDefault="001C7820" w:rsidP="00C44F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condizionale è d’obbligo, soprattutto con riferimento </w:t>
      </w:r>
      <w:r w:rsidR="00FE43C2">
        <w:rPr>
          <w:rFonts w:ascii="Times New Roman" w:hAnsi="Times New Roman" w:cs="Times New Roman"/>
          <w:sz w:val="24"/>
          <w:szCs w:val="24"/>
        </w:rPr>
        <w:t>all’art. 3</w:t>
      </w:r>
      <w:r w:rsidR="00AA1F07">
        <w:rPr>
          <w:rFonts w:ascii="Times New Roman" w:hAnsi="Times New Roman" w:cs="Times New Roman"/>
          <w:sz w:val="24"/>
          <w:szCs w:val="24"/>
        </w:rPr>
        <w:t xml:space="preserve"> dello schema di decreto</w:t>
      </w:r>
      <w:r w:rsidR="00FE43C2">
        <w:rPr>
          <w:rFonts w:ascii="Times New Roman" w:hAnsi="Times New Roman" w:cs="Times New Roman"/>
          <w:sz w:val="24"/>
          <w:szCs w:val="24"/>
        </w:rPr>
        <w:t>, recante disposizioni in tema di “Concentrazione dei regimi amministrativi” (la c.d. SCIA unica</w:t>
      </w:r>
      <w:r w:rsidR="002666AB">
        <w:rPr>
          <w:rFonts w:ascii="Times New Roman" w:hAnsi="Times New Roman" w:cs="Times New Roman"/>
          <w:sz w:val="24"/>
          <w:szCs w:val="24"/>
        </w:rPr>
        <w:t>, che concentra in sé le SCIA presupposte</w:t>
      </w:r>
      <w:r w:rsidR="00FE43C2">
        <w:rPr>
          <w:rFonts w:ascii="Times New Roman" w:hAnsi="Times New Roman" w:cs="Times New Roman"/>
          <w:sz w:val="24"/>
          <w:szCs w:val="24"/>
        </w:rPr>
        <w:t>) e, ancora più in particolare, a quelle ipotesi che il Consiglio di Stato qualifica come “SCIA non pura”, ossia i casi in cui la segnalazione ha come presupposto non soltanto requisiti di fatto ma anche uno o più atti di autorizzazione</w:t>
      </w:r>
      <w:r w:rsidR="00B82B04">
        <w:rPr>
          <w:rFonts w:ascii="Times New Roman" w:hAnsi="Times New Roman" w:cs="Times New Roman"/>
          <w:sz w:val="24"/>
          <w:szCs w:val="24"/>
        </w:rPr>
        <w:t>, ed agli indubbi riflessi che su queste ipotesi hanno l’istituto del silenzio assenso e il modulo procedimentale della conferenza dei servizi.</w:t>
      </w:r>
    </w:p>
    <w:p w:rsidR="002666AB" w:rsidRDefault="002666AB" w:rsidP="002666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tal proposito, il Consiglio di Stato, nell’evidenziare come “</w:t>
      </w:r>
      <w:r w:rsidRPr="00FF29C1">
        <w:rPr>
          <w:rFonts w:ascii="Times New Roman" w:hAnsi="Times New Roman" w:cs="Times New Roman"/>
          <w:i/>
          <w:sz w:val="24"/>
          <w:szCs w:val="24"/>
        </w:rPr>
        <w:t>lo schema di decreto non sia idoneo a risolvere la questione fugando le attuali incertezze interpretative</w:t>
      </w:r>
      <w:r>
        <w:rPr>
          <w:rFonts w:ascii="Times New Roman" w:hAnsi="Times New Roman" w:cs="Times New Roman"/>
          <w:sz w:val="24"/>
          <w:szCs w:val="24"/>
        </w:rPr>
        <w:t>”, individua</w:t>
      </w:r>
      <w:r w:rsidR="00B82B04">
        <w:rPr>
          <w:rFonts w:ascii="Times New Roman" w:hAnsi="Times New Roman" w:cs="Times New Roman"/>
          <w:sz w:val="24"/>
          <w:szCs w:val="24"/>
        </w:rPr>
        <w:t>, in via generale,</w:t>
      </w:r>
      <w:r>
        <w:rPr>
          <w:rFonts w:ascii="Times New Roman" w:hAnsi="Times New Roman" w:cs="Times New Roman"/>
          <w:sz w:val="24"/>
          <w:szCs w:val="24"/>
        </w:rPr>
        <w:t xml:space="preserve"> tre possibili soluzioni: </w:t>
      </w:r>
    </w:p>
    <w:p w:rsidR="00D54F58" w:rsidRDefault="002666AB" w:rsidP="002666AB">
      <w:pPr>
        <w:spacing w:after="0" w:line="360" w:lineRule="auto"/>
        <w:jc w:val="both"/>
        <w:rPr>
          <w:rFonts w:ascii="Times New Roman" w:hAnsi="Times New Roman" w:cs="Times New Roman"/>
          <w:sz w:val="24"/>
          <w:szCs w:val="24"/>
        </w:rPr>
      </w:pPr>
      <w:r w:rsidRPr="002666AB">
        <w:rPr>
          <w:rFonts w:ascii="Times New Roman" w:hAnsi="Times New Roman" w:cs="Times New Roman"/>
          <w:sz w:val="24"/>
          <w:szCs w:val="24"/>
        </w:rPr>
        <w:t>-</w:t>
      </w:r>
      <w:r>
        <w:rPr>
          <w:rFonts w:ascii="Times New Roman" w:hAnsi="Times New Roman" w:cs="Times New Roman"/>
          <w:sz w:val="24"/>
          <w:szCs w:val="24"/>
        </w:rPr>
        <w:t xml:space="preserve"> </w:t>
      </w:r>
      <w:r w:rsidR="001C7820" w:rsidRPr="002666AB">
        <w:rPr>
          <w:rFonts w:ascii="Times New Roman" w:hAnsi="Times New Roman" w:cs="Times New Roman"/>
          <w:sz w:val="24"/>
          <w:szCs w:val="24"/>
        </w:rPr>
        <w:t>escludere espressamente tali fattispecie dalla SCIA, concentran</w:t>
      </w:r>
      <w:r>
        <w:rPr>
          <w:rFonts w:ascii="Times New Roman" w:hAnsi="Times New Roman" w:cs="Times New Roman"/>
          <w:sz w:val="24"/>
          <w:szCs w:val="24"/>
        </w:rPr>
        <w:t>dosi solo sulla cd. “SCIA pura”</w:t>
      </w:r>
      <w:r w:rsidR="00D54F58">
        <w:rPr>
          <w:rFonts w:ascii="Times New Roman" w:hAnsi="Times New Roman" w:cs="Times New Roman"/>
          <w:sz w:val="24"/>
          <w:szCs w:val="24"/>
        </w:rPr>
        <w:t>, limitando in maniera rilevante l’ambito oggettivo di applicazione dell’istituto;</w:t>
      </w:r>
    </w:p>
    <w:p w:rsidR="002666AB" w:rsidRDefault="002666AB" w:rsidP="002666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7820" w:rsidRPr="002666AB">
        <w:rPr>
          <w:rFonts w:ascii="Times New Roman" w:hAnsi="Times New Roman" w:cs="Times New Roman"/>
          <w:sz w:val="24"/>
          <w:szCs w:val="24"/>
        </w:rPr>
        <w:t xml:space="preserve">considerare anche i casi di </w:t>
      </w:r>
      <w:r>
        <w:rPr>
          <w:rFonts w:ascii="Times New Roman" w:hAnsi="Times New Roman" w:cs="Times New Roman"/>
          <w:sz w:val="24"/>
          <w:szCs w:val="24"/>
        </w:rPr>
        <w:t>“</w:t>
      </w:r>
      <w:r w:rsidR="001C7820" w:rsidRPr="002666AB">
        <w:rPr>
          <w:rFonts w:ascii="Times New Roman" w:hAnsi="Times New Roman" w:cs="Times New Roman"/>
          <w:sz w:val="24"/>
          <w:szCs w:val="24"/>
        </w:rPr>
        <w:t>SCIA non pura</w:t>
      </w:r>
      <w:r>
        <w:rPr>
          <w:rFonts w:ascii="Times New Roman" w:hAnsi="Times New Roman" w:cs="Times New Roman"/>
          <w:sz w:val="24"/>
          <w:szCs w:val="24"/>
        </w:rPr>
        <w:t>”</w:t>
      </w:r>
      <w:r w:rsidR="001C7820" w:rsidRPr="002666AB">
        <w:rPr>
          <w:rFonts w:ascii="Times New Roman" w:hAnsi="Times New Roman" w:cs="Times New Roman"/>
          <w:sz w:val="24"/>
          <w:szCs w:val="24"/>
        </w:rPr>
        <w:t xml:space="preserve"> e imporre esplicitamente che la presentazione della SCIA possa avvenire soltanto una volta acquisito l’atto autorizzativo presupposto, </w:t>
      </w:r>
      <w:r>
        <w:rPr>
          <w:rFonts w:ascii="Times New Roman" w:hAnsi="Times New Roman" w:cs="Times New Roman"/>
          <w:sz w:val="24"/>
          <w:szCs w:val="24"/>
        </w:rPr>
        <w:t>“</w:t>
      </w:r>
      <w:r w:rsidR="001C7820" w:rsidRPr="002666AB">
        <w:rPr>
          <w:rFonts w:ascii="Times New Roman" w:hAnsi="Times New Roman" w:cs="Times New Roman"/>
          <w:sz w:val="24"/>
          <w:szCs w:val="24"/>
        </w:rPr>
        <w:t>a cura del privato</w:t>
      </w:r>
      <w:r>
        <w:rPr>
          <w:rFonts w:ascii="Times New Roman" w:hAnsi="Times New Roman" w:cs="Times New Roman"/>
          <w:sz w:val="24"/>
          <w:szCs w:val="24"/>
        </w:rPr>
        <w:t>”</w:t>
      </w:r>
      <w:r w:rsidR="008D57B1">
        <w:rPr>
          <w:rFonts w:ascii="Times New Roman" w:hAnsi="Times New Roman" w:cs="Times New Roman"/>
          <w:sz w:val="24"/>
          <w:szCs w:val="24"/>
        </w:rPr>
        <w:t>. In questo caso, l’attività avviata</w:t>
      </w:r>
      <w:r w:rsidR="00A379F6">
        <w:rPr>
          <w:rFonts w:ascii="Times New Roman" w:hAnsi="Times New Roman" w:cs="Times New Roman"/>
          <w:sz w:val="24"/>
          <w:szCs w:val="24"/>
        </w:rPr>
        <w:t xml:space="preserve"> in assenza dell’autorizzazione</w:t>
      </w:r>
      <w:r w:rsidR="008D57B1">
        <w:rPr>
          <w:rFonts w:ascii="Times New Roman" w:hAnsi="Times New Roman" w:cs="Times New Roman"/>
          <w:sz w:val="24"/>
          <w:szCs w:val="24"/>
        </w:rPr>
        <w:t xml:space="preserve"> andrebbe considerata a tutti gli effetti abusiva;</w:t>
      </w:r>
    </w:p>
    <w:p w:rsidR="00C44F00" w:rsidRPr="002666AB" w:rsidRDefault="001C7820" w:rsidP="002666AB">
      <w:pPr>
        <w:spacing w:after="0" w:line="360" w:lineRule="auto"/>
        <w:jc w:val="both"/>
        <w:rPr>
          <w:rFonts w:ascii="Times New Roman" w:hAnsi="Times New Roman" w:cs="Times New Roman"/>
          <w:sz w:val="24"/>
          <w:szCs w:val="24"/>
        </w:rPr>
      </w:pPr>
      <w:r w:rsidRPr="002666AB">
        <w:rPr>
          <w:rFonts w:ascii="Times New Roman" w:hAnsi="Times New Roman" w:cs="Times New Roman"/>
          <w:sz w:val="24"/>
          <w:szCs w:val="24"/>
        </w:rPr>
        <w:t xml:space="preserve">- prevedere che la presentazione della SCIA attivi un meccanismo per l’ottenimento dell’autorizzazione </w:t>
      </w:r>
      <w:r w:rsidR="002666AB">
        <w:rPr>
          <w:rFonts w:ascii="Times New Roman" w:hAnsi="Times New Roman" w:cs="Times New Roman"/>
          <w:sz w:val="24"/>
          <w:szCs w:val="24"/>
        </w:rPr>
        <w:t>“</w:t>
      </w:r>
      <w:r w:rsidRPr="002666AB">
        <w:rPr>
          <w:rFonts w:ascii="Times New Roman" w:hAnsi="Times New Roman" w:cs="Times New Roman"/>
          <w:sz w:val="24"/>
          <w:szCs w:val="24"/>
        </w:rPr>
        <w:t>a cura dell’amministrazione ricevente</w:t>
      </w:r>
      <w:r w:rsidR="002666AB">
        <w:rPr>
          <w:rFonts w:ascii="Times New Roman" w:hAnsi="Times New Roman" w:cs="Times New Roman"/>
          <w:sz w:val="24"/>
          <w:szCs w:val="24"/>
        </w:rPr>
        <w:t>”</w:t>
      </w:r>
      <w:r w:rsidRPr="002666AB">
        <w:rPr>
          <w:rFonts w:ascii="Times New Roman" w:hAnsi="Times New Roman" w:cs="Times New Roman"/>
          <w:sz w:val="24"/>
          <w:szCs w:val="24"/>
        </w:rPr>
        <w:t>, rinviando però l’avvio dell’attività al momento di tale ottenimento (trasformando di fatto, in questi casi, la ‘segnalazione di inizio di attività’ in una ‘richiesta di inizio di attività’, che potrebbe essere un modello complementare rispetto a quello della ‘SCIA pura’).</w:t>
      </w:r>
      <w:r w:rsidR="00391BF1">
        <w:rPr>
          <w:rFonts w:ascii="Times New Roman" w:hAnsi="Times New Roman" w:cs="Times New Roman"/>
          <w:sz w:val="24"/>
          <w:szCs w:val="24"/>
        </w:rPr>
        <w:t xml:space="preserve"> </w:t>
      </w:r>
    </w:p>
    <w:p w:rsidR="00C44F00" w:rsidRDefault="00BF18FA" w:rsidP="00C44F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riferimento </w:t>
      </w:r>
      <w:r w:rsidR="00B82B04">
        <w:rPr>
          <w:rFonts w:ascii="Times New Roman" w:hAnsi="Times New Roman" w:cs="Times New Roman"/>
          <w:sz w:val="24"/>
          <w:szCs w:val="24"/>
        </w:rPr>
        <w:t>al rapporto tra tutela degli interessi sensibili e silenzio assenso</w:t>
      </w:r>
      <w:r>
        <w:rPr>
          <w:rFonts w:ascii="Times New Roman" w:hAnsi="Times New Roman" w:cs="Times New Roman"/>
          <w:sz w:val="24"/>
          <w:szCs w:val="24"/>
        </w:rPr>
        <w:t>, l’opzione per la seconda o la te</w:t>
      </w:r>
      <w:r w:rsidR="008D57B1">
        <w:rPr>
          <w:rFonts w:ascii="Times New Roman" w:hAnsi="Times New Roman" w:cs="Times New Roman"/>
          <w:sz w:val="24"/>
          <w:szCs w:val="24"/>
        </w:rPr>
        <w:t>rza soluzione</w:t>
      </w:r>
      <w:r w:rsidR="00AA1F07">
        <w:rPr>
          <w:rFonts w:ascii="Times New Roman" w:hAnsi="Times New Roman" w:cs="Times New Roman"/>
          <w:sz w:val="24"/>
          <w:szCs w:val="24"/>
        </w:rPr>
        <w:t xml:space="preserve"> (la prima esclude di per sé che possano essere intercettati tali interessi)</w:t>
      </w:r>
      <w:r w:rsidR="008D57B1">
        <w:rPr>
          <w:rFonts w:ascii="Times New Roman" w:hAnsi="Times New Roman" w:cs="Times New Roman"/>
          <w:sz w:val="24"/>
          <w:szCs w:val="24"/>
        </w:rPr>
        <w:t xml:space="preserve"> </w:t>
      </w:r>
      <w:r w:rsidR="00B82B04">
        <w:rPr>
          <w:rFonts w:ascii="Times New Roman" w:hAnsi="Times New Roman" w:cs="Times New Roman"/>
          <w:sz w:val="24"/>
          <w:szCs w:val="24"/>
        </w:rPr>
        <w:t xml:space="preserve">assicura la piena tutela, poiché sia nel caso in cui </w:t>
      </w:r>
      <w:r w:rsidR="008D57B1">
        <w:rPr>
          <w:rFonts w:ascii="Times New Roman" w:hAnsi="Times New Roman" w:cs="Times New Roman"/>
          <w:sz w:val="24"/>
          <w:szCs w:val="24"/>
        </w:rPr>
        <w:t xml:space="preserve">l’autorizzazione </w:t>
      </w:r>
      <w:r w:rsidR="00B82B04">
        <w:rPr>
          <w:rFonts w:ascii="Times New Roman" w:hAnsi="Times New Roman" w:cs="Times New Roman"/>
          <w:sz w:val="24"/>
          <w:szCs w:val="24"/>
        </w:rPr>
        <w:t>viene</w:t>
      </w:r>
      <w:r w:rsidR="008D57B1">
        <w:rPr>
          <w:rFonts w:ascii="Times New Roman" w:hAnsi="Times New Roman" w:cs="Times New Roman"/>
          <w:sz w:val="24"/>
          <w:szCs w:val="24"/>
        </w:rPr>
        <w:t xml:space="preserve"> richiesta “a cura del privato”</w:t>
      </w:r>
      <w:r w:rsidR="00AA1F07">
        <w:rPr>
          <w:rFonts w:ascii="Times New Roman" w:hAnsi="Times New Roman" w:cs="Times New Roman"/>
          <w:sz w:val="24"/>
          <w:szCs w:val="24"/>
        </w:rPr>
        <w:t xml:space="preserve">, </w:t>
      </w:r>
      <w:r w:rsidR="00B82B04">
        <w:rPr>
          <w:rFonts w:ascii="Times New Roman" w:hAnsi="Times New Roman" w:cs="Times New Roman"/>
          <w:sz w:val="24"/>
          <w:szCs w:val="24"/>
        </w:rPr>
        <w:t xml:space="preserve">sia nel caso in cui è </w:t>
      </w:r>
      <w:r w:rsidR="00B82B04">
        <w:rPr>
          <w:rFonts w:ascii="Times New Roman" w:hAnsi="Times New Roman" w:cs="Times New Roman"/>
          <w:sz w:val="24"/>
          <w:szCs w:val="24"/>
        </w:rPr>
        <w:lastRenderedPageBreak/>
        <w:t>l’amministrazione che “riceve” la SCIA a richiederla, trova necessaria</w:t>
      </w:r>
      <w:r w:rsidR="008D57B1">
        <w:rPr>
          <w:rFonts w:ascii="Times New Roman" w:hAnsi="Times New Roman" w:cs="Times New Roman"/>
          <w:sz w:val="24"/>
          <w:szCs w:val="24"/>
        </w:rPr>
        <w:t xml:space="preserve"> applicazione</w:t>
      </w:r>
      <w:r w:rsidR="00785067">
        <w:rPr>
          <w:rFonts w:ascii="Times New Roman" w:hAnsi="Times New Roman" w:cs="Times New Roman"/>
          <w:sz w:val="24"/>
          <w:szCs w:val="24"/>
        </w:rPr>
        <w:t xml:space="preserve"> </w:t>
      </w:r>
      <w:r w:rsidR="008D57B1">
        <w:rPr>
          <w:rFonts w:ascii="Times New Roman" w:hAnsi="Times New Roman" w:cs="Times New Roman"/>
          <w:sz w:val="24"/>
          <w:szCs w:val="24"/>
        </w:rPr>
        <w:t xml:space="preserve">il co. 4 dell’art. 20, </w:t>
      </w:r>
      <w:r w:rsidR="00CE7BB3">
        <w:rPr>
          <w:rFonts w:ascii="Times New Roman" w:hAnsi="Times New Roman" w:cs="Times New Roman"/>
          <w:sz w:val="24"/>
          <w:szCs w:val="24"/>
        </w:rPr>
        <w:t xml:space="preserve">come novellato dalla </w:t>
      </w:r>
      <w:r w:rsidR="008D57B1">
        <w:rPr>
          <w:rFonts w:ascii="Times New Roman" w:hAnsi="Times New Roman" w:cs="Times New Roman"/>
          <w:sz w:val="24"/>
          <w:szCs w:val="24"/>
        </w:rPr>
        <w:t>L</w:t>
      </w:r>
      <w:r w:rsidR="00CE7BB3">
        <w:rPr>
          <w:rFonts w:ascii="Times New Roman" w:hAnsi="Times New Roman" w:cs="Times New Roman"/>
          <w:sz w:val="24"/>
          <w:szCs w:val="24"/>
        </w:rPr>
        <w:t>egge n. 221 del 2015</w:t>
      </w:r>
      <w:r w:rsidR="00DF27C6">
        <w:rPr>
          <w:rStyle w:val="Rimandonotaapidipagina"/>
          <w:rFonts w:ascii="Times New Roman" w:hAnsi="Times New Roman" w:cs="Times New Roman"/>
          <w:sz w:val="24"/>
          <w:szCs w:val="24"/>
        </w:rPr>
        <w:footnoteReference w:id="7"/>
      </w:r>
      <w:r w:rsidR="00837565">
        <w:rPr>
          <w:rFonts w:ascii="Times New Roman" w:hAnsi="Times New Roman" w:cs="Times New Roman"/>
          <w:sz w:val="24"/>
          <w:szCs w:val="24"/>
        </w:rPr>
        <w:t>.</w:t>
      </w:r>
    </w:p>
    <w:p w:rsidR="00246EA3" w:rsidRDefault="00987222" w:rsidP="005022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Non</w:t>
      </w:r>
      <w:r w:rsidR="00B82B04">
        <w:rPr>
          <w:rFonts w:ascii="Times New Roman" w:hAnsi="Times New Roman" w:cs="Times New Roman"/>
          <w:sz w:val="24"/>
          <w:szCs w:val="24"/>
        </w:rPr>
        <w:t xml:space="preserve"> può</w:t>
      </w:r>
      <w:r>
        <w:rPr>
          <w:rFonts w:ascii="Times New Roman" w:hAnsi="Times New Roman" w:cs="Times New Roman"/>
          <w:sz w:val="24"/>
          <w:szCs w:val="24"/>
        </w:rPr>
        <w:t>, infatti, nella terza opzione</w:t>
      </w:r>
      <w:r w:rsidR="00B82B04">
        <w:rPr>
          <w:rFonts w:ascii="Times New Roman" w:hAnsi="Times New Roman" w:cs="Times New Roman"/>
          <w:sz w:val="24"/>
          <w:szCs w:val="24"/>
        </w:rPr>
        <w:t xml:space="preserve"> trovare applicazione </w:t>
      </w:r>
      <w:r w:rsidR="008D57B1">
        <w:rPr>
          <w:rFonts w:ascii="Times New Roman" w:hAnsi="Times New Roman" w:cs="Times New Roman"/>
          <w:sz w:val="24"/>
          <w:szCs w:val="24"/>
        </w:rPr>
        <w:t>il diverso istituto del silenzio tra amministrazioni pubbliche disciplinato dall’art. 17 bis</w:t>
      </w:r>
      <w:r>
        <w:rPr>
          <w:rFonts w:ascii="Times New Roman" w:hAnsi="Times New Roman" w:cs="Times New Roman"/>
          <w:sz w:val="24"/>
          <w:szCs w:val="24"/>
        </w:rPr>
        <w:t xml:space="preserve">. </w:t>
      </w:r>
      <w:r w:rsidR="007169E7">
        <w:rPr>
          <w:rFonts w:ascii="Times New Roman" w:hAnsi="Times New Roman" w:cs="Times New Roman"/>
          <w:sz w:val="24"/>
          <w:szCs w:val="24"/>
        </w:rPr>
        <w:t>L’operatività d</w:t>
      </w:r>
      <w:r>
        <w:rPr>
          <w:rFonts w:ascii="Times New Roman" w:hAnsi="Times New Roman" w:cs="Times New Roman"/>
          <w:sz w:val="24"/>
          <w:szCs w:val="24"/>
        </w:rPr>
        <w:t>i tale disposizione</w:t>
      </w:r>
      <w:r w:rsidR="007169E7">
        <w:rPr>
          <w:rFonts w:ascii="Times New Roman" w:hAnsi="Times New Roman" w:cs="Times New Roman"/>
          <w:sz w:val="24"/>
          <w:szCs w:val="24"/>
        </w:rPr>
        <w:t xml:space="preserve"> </w:t>
      </w:r>
      <w:r w:rsidR="00B82B04">
        <w:rPr>
          <w:rFonts w:ascii="Times New Roman" w:hAnsi="Times New Roman" w:cs="Times New Roman"/>
          <w:sz w:val="24"/>
          <w:szCs w:val="24"/>
        </w:rPr>
        <w:t>è, infatti,</w:t>
      </w:r>
      <w:r w:rsidR="007169E7">
        <w:rPr>
          <w:rFonts w:ascii="Times New Roman" w:hAnsi="Times New Roman" w:cs="Times New Roman"/>
          <w:sz w:val="24"/>
          <w:szCs w:val="24"/>
        </w:rPr>
        <w:t xml:space="preserve"> esclusa dalla formulazione letterale del co. 3</w:t>
      </w:r>
      <w:r w:rsidR="00A379F6">
        <w:rPr>
          <w:rFonts w:ascii="Times New Roman" w:hAnsi="Times New Roman" w:cs="Times New Roman"/>
          <w:sz w:val="24"/>
          <w:szCs w:val="24"/>
        </w:rPr>
        <w:t>,</w:t>
      </w:r>
      <w:r w:rsidR="007169E7">
        <w:rPr>
          <w:rFonts w:ascii="Times New Roman" w:hAnsi="Times New Roman" w:cs="Times New Roman"/>
          <w:sz w:val="24"/>
          <w:szCs w:val="24"/>
        </w:rPr>
        <w:t xml:space="preserve"> che fa esplicito riferimento alla adozione di “provvedimenti normativi e amministrativi” di competenza di amministrazioni pubbliche, </w:t>
      </w:r>
      <w:r w:rsidR="0034128E">
        <w:rPr>
          <w:rFonts w:ascii="Times New Roman" w:hAnsi="Times New Roman" w:cs="Times New Roman"/>
          <w:sz w:val="24"/>
          <w:szCs w:val="24"/>
        </w:rPr>
        <w:t xml:space="preserve">mentre, nel caso che qui occupa, </w:t>
      </w:r>
      <w:r w:rsidR="007169E7">
        <w:rPr>
          <w:rFonts w:ascii="Times New Roman" w:hAnsi="Times New Roman" w:cs="Times New Roman"/>
          <w:sz w:val="24"/>
          <w:szCs w:val="24"/>
        </w:rPr>
        <w:t xml:space="preserve">il procedimento </w:t>
      </w:r>
      <w:proofErr w:type="spellStart"/>
      <w:r w:rsidR="007169E7">
        <w:rPr>
          <w:rFonts w:ascii="Times New Roman" w:hAnsi="Times New Roman" w:cs="Times New Roman"/>
          <w:sz w:val="24"/>
          <w:szCs w:val="24"/>
        </w:rPr>
        <w:t>autorizzatorio</w:t>
      </w:r>
      <w:proofErr w:type="spellEnd"/>
      <w:r w:rsidR="007169E7">
        <w:rPr>
          <w:rFonts w:ascii="Times New Roman" w:hAnsi="Times New Roman" w:cs="Times New Roman"/>
          <w:sz w:val="24"/>
          <w:szCs w:val="24"/>
        </w:rPr>
        <w:t xml:space="preserve">, come </w:t>
      </w:r>
      <w:r w:rsidR="0034128E">
        <w:rPr>
          <w:rFonts w:ascii="Times New Roman" w:hAnsi="Times New Roman" w:cs="Times New Roman"/>
          <w:sz w:val="24"/>
          <w:szCs w:val="24"/>
        </w:rPr>
        <w:t>sottolineato</w:t>
      </w:r>
      <w:r w:rsidR="007169E7">
        <w:rPr>
          <w:rFonts w:ascii="Times New Roman" w:hAnsi="Times New Roman" w:cs="Times New Roman"/>
          <w:sz w:val="24"/>
          <w:szCs w:val="24"/>
        </w:rPr>
        <w:t xml:space="preserve"> dal Consiglio di Stato</w:t>
      </w:r>
      <w:r w:rsidR="00A379F6">
        <w:rPr>
          <w:rFonts w:ascii="Times New Roman" w:hAnsi="Times New Roman" w:cs="Times New Roman"/>
          <w:sz w:val="24"/>
          <w:szCs w:val="24"/>
        </w:rPr>
        <w:t xml:space="preserve"> nel predetto parere</w:t>
      </w:r>
      <w:r w:rsidR="007169E7">
        <w:rPr>
          <w:rFonts w:ascii="Times New Roman" w:hAnsi="Times New Roman" w:cs="Times New Roman"/>
          <w:sz w:val="24"/>
          <w:szCs w:val="24"/>
        </w:rPr>
        <w:t xml:space="preserve">, </w:t>
      </w:r>
      <w:r w:rsidR="0034128E">
        <w:rPr>
          <w:rFonts w:ascii="Times New Roman" w:hAnsi="Times New Roman" w:cs="Times New Roman"/>
          <w:sz w:val="24"/>
          <w:szCs w:val="24"/>
        </w:rPr>
        <w:t xml:space="preserve">si innesta </w:t>
      </w:r>
      <w:r w:rsidR="007169E7">
        <w:rPr>
          <w:rFonts w:ascii="Times New Roman" w:hAnsi="Times New Roman" w:cs="Times New Roman"/>
          <w:sz w:val="24"/>
          <w:szCs w:val="24"/>
        </w:rPr>
        <w:t>“</w:t>
      </w:r>
      <w:r w:rsidR="007169E7" w:rsidRPr="00A379F6">
        <w:rPr>
          <w:rFonts w:ascii="Times New Roman" w:hAnsi="Times New Roman" w:cs="Times New Roman"/>
          <w:i/>
          <w:sz w:val="24"/>
          <w:szCs w:val="24"/>
        </w:rPr>
        <w:t>sul tronco di quello logicamente principale, ovvero della SCIA</w:t>
      </w:r>
      <w:r w:rsidR="007169E7">
        <w:rPr>
          <w:rFonts w:ascii="Times New Roman" w:hAnsi="Times New Roman" w:cs="Times New Roman"/>
          <w:sz w:val="24"/>
          <w:szCs w:val="24"/>
        </w:rPr>
        <w:t>”.</w:t>
      </w:r>
      <w:r w:rsidR="00502287">
        <w:rPr>
          <w:rFonts w:ascii="Times New Roman" w:hAnsi="Times New Roman" w:cs="Times New Roman"/>
          <w:sz w:val="24"/>
          <w:szCs w:val="24"/>
        </w:rPr>
        <w:t xml:space="preserve"> </w:t>
      </w:r>
      <w:r w:rsidR="0034128E">
        <w:rPr>
          <w:rFonts w:ascii="Times New Roman" w:hAnsi="Times New Roman" w:cs="Times New Roman"/>
          <w:sz w:val="24"/>
          <w:szCs w:val="24"/>
        </w:rPr>
        <w:t xml:space="preserve">Diversamente opinando, la disciplina potrebbe presentare profili di incostituzionalità con riferimento ai principi elaborati, per i valori primari/motivi di interesse generale, dalla Corte Costituzionale e dalla Corte di Giustizia ed alla </w:t>
      </w:r>
      <w:r w:rsidR="00E65806">
        <w:rPr>
          <w:rFonts w:ascii="Times New Roman" w:hAnsi="Times New Roman" w:cs="Times New Roman"/>
          <w:sz w:val="24"/>
          <w:szCs w:val="24"/>
        </w:rPr>
        <w:t>irragionevole</w:t>
      </w:r>
      <w:r w:rsidR="0034128E">
        <w:rPr>
          <w:rFonts w:ascii="Times New Roman" w:hAnsi="Times New Roman" w:cs="Times New Roman"/>
          <w:sz w:val="24"/>
          <w:szCs w:val="24"/>
        </w:rPr>
        <w:t xml:space="preserve"> disparità di trattamento tra </w:t>
      </w:r>
      <w:r w:rsidR="005C5374">
        <w:rPr>
          <w:rFonts w:ascii="Times New Roman" w:hAnsi="Times New Roman" w:cs="Times New Roman"/>
          <w:sz w:val="24"/>
          <w:szCs w:val="24"/>
        </w:rPr>
        <w:t>l</w:t>
      </w:r>
      <w:r w:rsidR="0034128E">
        <w:rPr>
          <w:rFonts w:ascii="Times New Roman" w:hAnsi="Times New Roman" w:cs="Times New Roman"/>
          <w:sz w:val="24"/>
          <w:szCs w:val="24"/>
        </w:rPr>
        <w:t>e ipotesi in</w:t>
      </w:r>
      <w:r w:rsidR="00246EA3">
        <w:rPr>
          <w:rFonts w:ascii="Times New Roman" w:hAnsi="Times New Roman" w:cs="Times New Roman"/>
          <w:sz w:val="24"/>
          <w:szCs w:val="24"/>
        </w:rPr>
        <w:t xml:space="preserve"> cui a procedere </w:t>
      </w:r>
      <w:r w:rsidR="00E65806">
        <w:rPr>
          <w:rFonts w:ascii="Times New Roman" w:hAnsi="Times New Roman" w:cs="Times New Roman"/>
          <w:sz w:val="24"/>
          <w:szCs w:val="24"/>
        </w:rPr>
        <w:t>sia</w:t>
      </w:r>
      <w:r w:rsidR="00246EA3">
        <w:rPr>
          <w:rFonts w:ascii="Times New Roman" w:hAnsi="Times New Roman" w:cs="Times New Roman"/>
          <w:sz w:val="24"/>
          <w:szCs w:val="24"/>
        </w:rPr>
        <w:t xml:space="preserve"> l’</w:t>
      </w:r>
      <w:r w:rsidR="00246EA3" w:rsidRPr="00246EA3">
        <w:rPr>
          <w:rFonts w:ascii="Times New Roman" w:hAnsi="Times New Roman" w:cs="Times New Roman"/>
          <w:sz w:val="24"/>
          <w:szCs w:val="24"/>
        </w:rPr>
        <w:t xml:space="preserve">amministrazione preposta alla tutela </w:t>
      </w:r>
      <w:r w:rsidR="00246EA3">
        <w:rPr>
          <w:rFonts w:ascii="Times New Roman" w:hAnsi="Times New Roman" w:cs="Times New Roman"/>
          <w:sz w:val="24"/>
          <w:szCs w:val="24"/>
        </w:rPr>
        <w:t>dell’</w:t>
      </w:r>
      <w:r w:rsidR="002560C3">
        <w:rPr>
          <w:rFonts w:ascii="Times New Roman" w:hAnsi="Times New Roman" w:cs="Times New Roman"/>
          <w:sz w:val="24"/>
          <w:szCs w:val="24"/>
        </w:rPr>
        <w:t>interesse</w:t>
      </w:r>
      <w:r w:rsidR="009200BF">
        <w:rPr>
          <w:rFonts w:ascii="Times New Roman" w:hAnsi="Times New Roman" w:cs="Times New Roman"/>
          <w:sz w:val="24"/>
          <w:szCs w:val="24"/>
        </w:rPr>
        <w:t xml:space="preserve"> sensibile</w:t>
      </w:r>
      <w:r w:rsidR="002560C3">
        <w:rPr>
          <w:rFonts w:ascii="Times New Roman" w:hAnsi="Times New Roman" w:cs="Times New Roman"/>
          <w:sz w:val="24"/>
          <w:szCs w:val="24"/>
        </w:rPr>
        <w:t xml:space="preserve">, </w:t>
      </w:r>
      <w:r w:rsidR="00E65806">
        <w:rPr>
          <w:rFonts w:ascii="Times New Roman" w:hAnsi="Times New Roman" w:cs="Times New Roman"/>
          <w:sz w:val="24"/>
          <w:szCs w:val="24"/>
        </w:rPr>
        <w:t xml:space="preserve">in cui opera il co. 4 dell’art. 20, </w:t>
      </w:r>
      <w:r w:rsidR="002560C3">
        <w:rPr>
          <w:rFonts w:ascii="Times New Roman" w:hAnsi="Times New Roman" w:cs="Times New Roman"/>
          <w:sz w:val="24"/>
          <w:szCs w:val="24"/>
        </w:rPr>
        <w:t xml:space="preserve">e le ipotesi in cui </w:t>
      </w:r>
      <w:r w:rsidR="00246EA3" w:rsidRPr="00246EA3">
        <w:rPr>
          <w:rFonts w:ascii="Times New Roman" w:hAnsi="Times New Roman" w:cs="Times New Roman"/>
          <w:sz w:val="24"/>
          <w:szCs w:val="24"/>
        </w:rPr>
        <w:t xml:space="preserve">la stessa amministrazione </w:t>
      </w:r>
      <w:r w:rsidR="00E65806">
        <w:rPr>
          <w:rFonts w:ascii="Times New Roman" w:hAnsi="Times New Roman" w:cs="Times New Roman"/>
          <w:sz w:val="24"/>
          <w:szCs w:val="24"/>
        </w:rPr>
        <w:t>interviene</w:t>
      </w:r>
      <w:r w:rsidR="00246EA3" w:rsidRPr="00246EA3">
        <w:rPr>
          <w:rFonts w:ascii="Times New Roman" w:hAnsi="Times New Roman" w:cs="Times New Roman"/>
          <w:sz w:val="24"/>
          <w:szCs w:val="24"/>
        </w:rPr>
        <w:t xml:space="preserve"> in un procedimento di altra amministrazione</w:t>
      </w:r>
      <w:r w:rsidR="002560C3">
        <w:rPr>
          <w:rFonts w:ascii="Times New Roman" w:hAnsi="Times New Roman" w:cs="Times New Roman"/>
          <w:sz w:val="24"/>
          <w:szCs w:val="24"/>
        </w:rPr>
        <w:t>, in cui</w:t>
      </w:r>
      <w:r w:rsidR="00246EA3" w:rsidRPr="00246EA3">
        <w:rPr>
          <w:rFonts w:ascii="Times New Roman" w:hAnsi="Times New Roman" w:cs="Times New Roman"/>
          <w:sz w:val="24"/>
          <w:szCs w:val="24"/>
        </w:rPr>
        <w:t xml:space="preserve"> il silenzio assenso </w:t>
      </w:r>
      <w:r w:rsidR="002560C3">
        <w:rPr>
          <w:rFonts w:ascii="Times New Roman" w:hAnsi="Times New Roman" w:cs="Times New Roman"/>
          <w:sz w:val="24"/>
          <w:szCs w:val="24"/>
        </w:rPr>
        <w:t>è</w:t>
      </w:r>
      <w:r w:rsidR="00246EA3" w:rsidRPr="00246EA3">
        <w:rPr>
          <w:rFonts w:ascii="Times New Roman" w:hAnsi="Times New Roman" w:cs="Times New Roman"/>
          <w:sz w:val="24"/>
          <w:szCs w:val="24"/>
        </w:rPr>
        <w:t xml:space="preserve"> ammesso</w:t>
      </w:r>
      <w:r w:rsidR="00E65806">
        <w:rPr>
          <w:rStyle w:val="Rimandonotaapidipagina"/>
          <w:rFonts w:ascii="Times New Roman" w:hAnsi="Times New Roman" w:cs="Times New Roman"/>
          <w:sz w:val="24"/>
          <w:szCs w:val="24"/>
        </w:rPr>
        <w:footnoteReference w:id="8"/>
      </w:r>
      <w:r w:rsidR="00246EA3" w:rsidRPr="00246EA3">
        <w:rPr>
          <w:rFonts w:ascii="Times New Roman" w:hAnsi="Times New Roman" w:cs="Times New Roman"/>
          <w:sz w:val="24"/>
          <w:szCs w:val="24"/>
        </w:rPr>
        <w:t>.</w:t>
      </w:r>
      <w:r w:rsidR="00585B42">
        <w:rPr>
          <w:rFonts w:ascii="Times New Roman" w:hAnsi="Times New Roman" w:cs="Times New Roman"/>
          <w:sz w:val="24"/>
          <w:szCs w:val="24"/>
        </w:rPr>
        <w:t xml:space="preserve"> </w:t>
      </w:r>
      <w:r w:rsidR="00556307">
        <w:rPr>
          <w:rFonts w:ascii="Times New Roman" w:hAnsi="Times New Roman" w:cs="Times New Roman"/>
          <w:sz w:val="24"/>
          <w:szCs w:val="24"/>
        </w:rPr>
        <w:t>A ciò si aggiunga che la “clausola di salvaguardia” prevista dall’ultimo comma dell’art. 17-bis, relativa alle ipotesi in cui disposizioni dell’Unione Europea prevedano l’adozione di un provvedimento espresso, per come formulata, potrebbe non garantire la tutela in quei casi in cui, sebbene non sia presente un divieto normativo espresso</w:t>
      </w:r>
      <w:r w:rsidR="00D30F8A">
        <w:rPr>
          <w:rFonts w:ascii="Times New Roman" w:hAnsi="Times New Roman" w:cs="Times New Roman"/>
          <w:sz w:val="24"/>
          <w:szCs w:val="24"/>
        </w:rPr>
        <w:t>, o la disposizione non sia chiara</w:t>
      </w:r>
      <w:r w:rsidR="00556307">
        <w:rPr>
          <w:rFonts w:ascii="Times New Roman" w:hAnsi="Times New Roman" w:cs="Times New Roman"/>
          <w:sz w:val="24"/>
          <w:szCs w:val="24"/>
        </w:rPr>
        <w:t>, vi sia l’enunciazione di un principio da parte della Corte di Giustizia</w:t>
      </w:r>
      <w:r w:rsidR="00556307">
        <w:rPr>
          <w:rStyle w:val="Rimandonotaapidipagina"/>
          <w:rFonts w:ascii="Times New Roman" w:hAnsi="Times New Roman" w:cs="Times New Roman"/>
          <w:sz w:val="24"/>
          <w:szCs w:val="24"/>
        </w:rPr>
        <w:footnoteReference w:id="9"/>
      </w:r>
      <w:r w:rsidR="009B4C85">
        <w:rPr>
          <w:rFonts w:ascii="Times New Roman" w:hAnsi="Times New Roman" w:cs="Times New Roman"/>
          <w:sz w:val="24"/>
          <w:szCs w:val="24"/>
        </w:rPr>
        <w:t>.</w:t>
      </w:r>
    </w:p>
    <w:p w:rsidR="00391BF1" w:rsidRDefault="00391BF1" w:rsidP="005022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 nell’analisi della disposizione non può non essere presa in considerazione la disciplina della conferenza dei servizi, espressamente prevista dal co. 3 dell’art. 3 dello </w:t>
      </w:r>
      <w:r>
        <w:rPr>
          <w:rFonts w:ascii="Times New Roman" w:hAnsi="Times New Roman" w:cs="Times New Roman"/>
          <w:sz w:val="24"/>
          <w:szCs w:val="24"/>
        </w:rPr>
        <w:lastRenderedPageBreak/>
        <w:t>schema di decreto</w:t>
      </w:r>
      <w:r w:rsidR="00A91991">
        <w:rPr>
          <w:rFonts w:ascii="Times New Roman" w:hAnsi="Times New Roman" w:cs="Times New Roman"/>
          <w:sz w:val="24"/>
          <w:szCs w:val="24"/>
        </w:rPr>
        <w:t>:</w:t>
      </w:r>
      <w:r>
        <w:rPr>
          <w:rFonts w:ascii="Times New Roman" w:hAnsi="Times New Roman" w:cs="Times New Roman"/>
          <w:sz w:val="24"/>
          <w:szCs w:val="24"/>
        </w:rPr>
        <w:t xml:space="preserve"> “</w:t>
      </w:r>
      <w:r w:rsidRPr="00391BF1">
        <w:rPr>
          <w:rFonts w:ascii="Times New Roman" w:hAnsi="Times New Roman" w:cs="Times New Roman"/>
          <w:i/>
          <w:sz w:val="24"/>
          <w:szCs w:val="24"/>
        </w:rPr>
        <w:t xml:space="preserve">Nel caso in cui l’efficacia della SCIA sia condizionata all’acquisizione di atti di assenso comunque denominati </w:t>
      </w:r>
      <w:r w:rsidR="00083CCE">
        <w:rPr>
          <w:rFonts w:ascii="Times New Roman" w:hAnsi="Times New Roman" w:cs="Times New Roman"/>
          <w:i/>
          <w:sz w:val="24"/>
          <w:szCs w:val="24"/>
        </w:rPr>
        <w:t>o</w:t>
      </w:r>
      <w:r w:rsidRPr="00391BF1">
        <w:rPr>
          <w:rFonts w:ascii="Times New Roman" w:hAnsi="Times New Roman" w:cs="Times New Roman"/>
          <w:i/>
          <w:sz w:val="24"/>
          <w:szCs w:val="24"/>
        </w:rPr>
        <w:t xml:space="preserve"> pareri di altri uffici e amministrazioni, ovvero all’esecuzione di verifiche preventive</w:t>
      </w:r>
      <w:r>
        <w:rPr>
          <w:rFonts w:ascii="Times New Roman" w:hAnsi="Times New Roman" w:cs="Times New Roman"/>
          <w:sz w:val="24"/>
          <w:szCs w:val="24"/>
        </w:rPr>
        <w:t xml:space="preserve"> […]” e l’incidenza sulla tutela degli interessi sensibili (oggetto peraltro dell’intervento del prof. </w:t>
      </w:r>
      <w:proofErr w:type="spellStart"/>
      <w:r>
        <w:rPr>
          <w:rFonts w:ascii="Times New Roman" w:hAnsi="Times New Roman" w:cs="Times New Roman"/>
          <w:sz w:val="24"/>
          <w:szCs w:val="24"/>
        </w:rPr>
        <w:t>Dipace</w:t>
      </w:r>
      <w:proofErr w:type="spellEnd"/>
      <w:r>
        <w:rPr>
          <w:rFonts w:ascii="Times New Roman" w:hAnsi="Times New Roman" w:cs="Times New Roman"/>
          <w:sz w:val="24"/>
          <w:szCs w:val="24"/>
        </w:rPr>
        <w:t>). A tal proposito, la considerazione di carattere generale</w:t>
      </w:r>
      <w:r w:rsidR="00A91991">
        <w:rPr>
          <w:rFonts w:ascii="Times New Roman" w:hAnsi="Times New Roman" w:cs="Times New Roman"/>
          <w:sz w:val="24"/>
          <w:szCs w:val="24"/>
        </w:rPr>
        <w:t xml:space="preserve"> è che, sulla base dei criteri stabiliti dalla Legge di delega, ed in particolare dalla </w:t>
      </w:r>
      <w:proofErr w:type="spellStart"/>
      <w:r w:rsidR="00A91991">
        <w:rPr>
          <w:rFonts w:ascii="Times New Roman" w:hAnsi="Times New Roman" w:cs="Times New Roman"/>
          <w:sz w:val="24"/>
          <w:szCs w:val="24"/>
        </w:rPr>
        <w:t>lett</w:t>
      </w:r>
      <w:proofErr w:type="spellEnd"/>
      <w:r w:rsidR="00A91991">
        <w:rPr>
          <w:rFonts w:ascii="Times New Roman" w:hAnsi="Times New Roman" w:cs="Times New Roman"/>
          <w:sz w:val="24"/>
          <w:szCs w:val="24"/>
        </w:rPr>
        <w:t xml:space="preserve">. g) e dalla </w:t>
      </w:r>
      <w:proofErr w:type="spellStart"/>
      <w:r w:rsidR="00A91991">
        <w:rPr>
          <w:rFonts w:ascii="Times New Roman" w:hAnsi="Times New Roman" w:cs="Times New Roman"/>
          <w:sz w:val="24"/>
          <w:szCs w:val="24"/>
        </w:rPr>
        <w:t>lett</w:t>
      </w:r>
      <w:proofErr w:type="spellEnd"/>
      <w:r w:rsidR="00A91991">
        <w:rPr>
          <w:rFonts w:ascii="Times New Roman" w:hAnsi="Times New Roman" w:cs="Times New Roman"/>
          <w:sz w:val="24"/>
          <w:szCs w:val="24"/>
        </w:rPr>
        <w:t>. n)</w:t>
      </w:r>
      <w:r w:rsidR="00CD70F9">
        <w:rPr>
          <w:rStyle w:val="Rimandonotaapidipagina"/>
          <w:rFonts w:ascii="Times New Roman" w:hAnsi="Times New Roman" w:cs="Times New Roman"/>
          <w:sz w:val="24"/>
          <w:szCs w:val="24"/>
        </w:rPr>
        <w:footnoteReference w:id="10"/>
      </w:r>
      <w:r w:rsidR="00A91991">
        <w:rPr>
          <w:rFonts w:ascii="Times New Roman" w:hAnsi="Times New Roman" w:cs="Times New Roman"/>
          <w:sz w:val="24"/>
          <w:szCs w:val="24"/>
        </w:rPr>
        <w:t xml:space="preserve">, non sembra che la disciplina che si sta componendo intervenga in modo rilevante, sotto il profilo sostanziale, sull’intensità della tutela degli interessi sensibili per come delineata dal quadro normativo attualmente vigente (si pensi alla attuale formulazione dell’art. 14-ter della Legge n. 241 come novellato dal D.L. n. 78 del 2010, convertito con la Legge. n. 122 del 2010). Di </w:t>
      </w:r>
      <w:proofErr w:type="spellStart"/>
      <w:r w:rsidR="00A91991">
        <w:rPr>
          <w:rFonts w:ascii="Times New Roman" w:hAnsi="Times New Roman" w:cs="Times New Roman"/>
          <w:sz w:val="24"/>
          <w:szCs w:val="24"/>
        </w:rPr>
        <w:t>talchè</w:t>
      </w:r>
      <w:proofErr w:type="spellEnd"/>
      <w:r w:rsidR="00A91991">
        <w:rPr>
          <w:rFonts w:ascii="Times New Roman" w:hAnsi="Times New Roman" w:cs="Times New Roman"/>
          <w:sz w:val="24"/>
          <w:szCs w:val="24"/>
        </w:rPr>
        <w:t xml:space="preserve">, anche sotto questo profilo, si può concludere che, in astratto, gli interessi sensibili resistono. Permangono i dubbi, evidenziati dal prof. </w:t>
      </w:r>
      <w:proofErr w:type="spellStart"/>
      <w:r w:rsidR="00A91991">
        <w:rPr>
          <w:rFonts w:ascii="Times New Roman" w:hAnsi="Times New Roman" w:cs="Times New Roman"/>
          <w:sz w:val="24"/>
          <w:szCs w:val="24"/>
        </w:rPr>
        <w:t>Dipace</w:t>
      </w:r>
      <w:proofErr w:type="spellEnd"/>
      <w:r w:rsidR="00A91991">
        <w:rPr>
          <w:rFonts w:ascii="Times New Roman" w:hAnsi="Times New Roman" w:cs="Times New Roman"/>
          <w:sz w:val="24"/>
          <w:szCs w:val="24"/>
        </w:rPr>
        <w:t xml:space="preserve">, </w:t>
      </w:r>
      <w:r w:rsidR="00CD70F9">
        <w:rPr>
          <w:rFonts w:ascii="Times New Roman" w:hAnsi="Times New Roman" w:cs="Times New Roman"/>
          <w:sz w:val="24"/>
          <w:szCs w:val="24"/>
        </w:rPr>
        <w:t xml:space="preserve">sul </w:t>
      </w:r>
      <w:r w:rsidR="00083CCE" w:rsidRPr="00083CCE">
        <w:rPr>
          <w:rFonts w:ascii="Times New Roman" w:hAnsi="Times New Roman" w:cs="Times New Roman"/>
          <w:i/>
          <w:sz w:val="24"/>
          <w:szCs w:val="24"/>
        </w:rPr>
        <w:t xml:space="preserve">modus </w:t>
      </w:r>
      <w:proofErr w:type="spellStart"/>
      <w:r w:rsidR="00083CCE" w:rsidRPr="00083CCE">
        <w:rPr>
          <w:rFonts w:ascii="Times New Roman" w:hAnsi="Times New Roman" w:cs="Times New Roman"/>
          <w:i/>
          <w:sz w:val="24"/>
          <w:szCs w:val="24"/>
        </w:rPr>
        <w:t>procedendi</w:t>
      </w:r>
      <w:proofErr w:type="spellEnd"/>
      <w:r w:rsidR="00A91991">
        <w:rPr>
          <w:rFonts w:ascii="Times New Roman" w:hAnsi="Times New Roman" w:cs="Times New Roman"/>
          <w:sz w:val="24"/>
          <w:szCs w:val="24"/>
        </w:rPr>
        <w:t xml:space="preserve"> </w:t>
      </w:r>
      <w:r w:rsidR="00083CCE">
        <w:rPr>
          <w:rFonts w:ascii="Times New Roman" w:hAnsi="Times New Roman" w:cs="Times New Roman"/>
          <w:sz w:val="24"/>
          <w:szCs w:val="24"/>
        </w:rPr>
        <w:t>delineato,</w:t>
      </w:r>
      <w:r w:rsidR="00A91991">
        <w:rPr>
          <w:rFonts w:ascii="Times New Roman" w:hAnsi="Times New Roman" w:cs="Times New Roman"/>
          <w:sz w:val="24"/>
          <w:szCs w:val="24"/>
        </w:rPr>
        <w:t xml:space="preserve"> che potrebbero incidere non sulla garanzia in astratto, ma sulla effettività </w:t>
      </w:r>
      <w:r w:rsidR="00CD70F9">
        <w:rPr>
          <w:rFonts w:ascii="Times New Roman" w:hAnsi="Times New Roman" w:cs="Times New Roman"/>
          <w:sz w:val="24"/>
          <w:szCs w:val="24"/>
        </w:rPr>
        <w:t xml:space="preserve">in concreto </w:t>
      </w:r>
      <w:r w:rsidR="00A91991">
        <w:rPr>
          <w:rFonts w:ascii="Times New Roman" w:hAnsi="Times New Roman" w:cs="Times New Roman"/>
          <w:sz w:val="24"/>
          <w:szCs w:val="24"/>
        </w:rPr>
        <w:t>della tutela (si pensi al rappresentante unico dell’amministrazione statale e alla possibilità di opposizione da parte delle amministrazioni preposte alla tutela di tali interessi).</w:t>
      </w:r>
    </w:p>
    <w:p w:rsidR="00FC306A" w:rsidRDefault="00CD70F9" w:rsidP="005E7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L’analisi non sarebbe completa se non si prendesse in considerazi</w:t>
      </w:r>
      <w:r w:rsidR="005E7633">
        <w:rPr>
          <w:rFonts w:ascii="Times New Roman" w:hAnsi="Times New Roman" w:cs="Times New Roman"/>
          <w:sz w:val="24"/>
          <w:szCs w:val="24"/>
        </w:rPr>
        <w:t>one anche la bozza, seppure provvisoria</w:t>
      </w:r>
      <w:r w:rsidR="00B87AC7">
        <w:rPr>
          <w:rFonts w:ascii="Times New Roman" w:hAnsi="Times New Roman" w:cs="Times New Roman"/>
          <w:sz w:val="24"/>
          <w:szCs w:val="24"/>
        </w:rPr>
        <w:t>,</w:t>
      </w:r>
      <w:r w:rsidR="005E7633">
        <w:rPr>
          <w:rFonts w:ascii="Times New Roman" w:hAnsi="Times New Roman" w:cs="Times New Roman"/>
          <w:sz w:val="24"/>
          <w:szCs w:val="24"/>
        </w:rPr>
        <w:t xml:space="preserve"> </w:t>
      </w:r>
      <w:r>
        <w:rPr>
          <w:rFonts w:ascii="Times New Roman" w:hAnsi="Times New Roman" w:cs="Times New Roman"/>
          <w:sz w:val="24"/>
          <w:szCs w:val="24"/>
        </w:rPr>
        <w:t>del decreto attu</w:t>
      </w:r>
      <w:r w:rsidR="005E7633">
        <w:rPr>
          <w:rFonts w:ascii="Times New Roman" w:hAnsi="Times New Roman" w:cs="Times New Roman"/>
          <w:sz w:val="24"/>
          <w:szCs w:val="24"/>
        </w:rPr>
        <w:t>a</w:t>
      </w:r>
      <w:r>
        <w:rPr>
          <w:rFonts w:ascii="Times New Roman" w:hAnsi="Times New Roman" w:cs="Times New Roman"/>
          <w:sz w:val="24"/>
          <w:szCs w:val="24"/>
        </w:rPr>
        <w:t>tivo della delega per la precisa individuazione dei procedimenti. In disparte le considerazioni, che si condividono, del Consiglio di Stato circa la tecnica utilizzata dal legislatore delegato e le difficoltà che discendono dalla mancata opzione in favore della tecnica della novella (considerazioni che peraltro trovano conferma nella mancanza di coordinamento delle disposizioni dei due decreti)</w:t>
      </w:r>
      <w:r w:rsidR="005E7633">
        <w:rPr>
          <w:rFonts w:ascii="Times New Roman" w:hAnsi="Times New Roman" w:cs="Times New Roman"/>
          <w:sz w:val="24"/>
          <w:szCs w:val="24"/>
        </w:rPr>
        <w:t>, ciò che emerge dalla l</w:t>
      </w:r>
      <w:r w:rsidR="00B87AC7">
        <w:rPr>
          <w:rFonts w:ascii="Times New Roman" w:hAnsi="Times New Roman" w:cs="Times New Roman"/>
          <w:sz w:val="24"/>
          <w:szCs w:val="24"/>
        </w:rPr>
        <w:t xml:space="preserve">ettura del testo provvisorio è che, </w:t>
      </w:r>
      <w:r w:rsidR="005E7633">
        <w:rPr>
          <w:rFonts w:ascii="Times New Roman" w:hAnsi="Times New Roman" w:cs="Times New Roman"/>
          <w:sz w:val="24"/>
          <w:szCs w:val="24"/>
        </w:rPr>
        <w:t>nel riscrivere i</w:t>
      </w:r>
      <w:r w:rsidR="00083CCE">
        <w:rPr>
          <w:rFonts w:ascii="Times New Roman" w:hAnsi="Times New Roman" w:cs="Times New Roman"/>
          <w:sz w:val="24"/>
          <w:szCs w:val="24"/>
        </w:rPr>
        <w:t>l primo</w:t>
      </w:r>
      <w:r w:rsidR="005E7633">
        <w:rPr>
          <w:rFonts w:ascii="Times New Roman" w:hAnsi="Times New Roman" w:cs="Times New Roman"/>
          <w:sz w:val="24"/>
          <w:szCs w:val="24"/>
        </w:rPr>
        <w:t xml:space="preserve"> </w:t>
      </w:r>
      <w:r w:rsidR="00083CCE">
        <w:rPr>
          <w:rFonts w:ascii="Times New Roman" w:hAnsi="Times New Roman" w:cs="Times New Roman"/>
          <w:sz w:val="24"/>
          <w:szCs w:val="24"/>
        </w:rPr>
        <w:t>comma</w:t>
      </w:r>
      <w:r w:rsidR="005E7633">
        <w:rPr>
          <w:rFonts w:ascii="Times New Roman" w:hAnsi="Times New Roman" w:cs="Times New Roman"/>
          <w:sz w:val="24"/>
          <w:szCs w:val="24"/>
        </w:rPr>
        <w:t xml:space="preserve"> dell’art. 19, il legislatore delegato</w:t>
      </w:r>
      <w:r w:rsidR="00083CCE">
        <w:rPr>
          <w:rFonts w:ascii="Times New Roman" w:hAnsi="Times New Roman" w:cs="Times New Roman"/>
          <w:sz w:val="24"/>
          <w:szCs w:val="24"/>
        </w:rPr>
        <w:t>,</w:t>
      </w:r>
      <w:r w:rsidR="005E7633">
        <w:rPr>
          <w:rFonts w:ascii="Times New Roman" w:hAnsi="Times New Roman" w:cs="Times New Roman"/>
          <w:sz w:val="24"/>
          <w:szCs w:val="24"/>
        </w:rPr>
        <w:t xml:space="preserve"> al contrario di quanto attualmente previsto, </w:t>
      </w:r>
      <w:r w:rsidR="00083CCE">
        <w:rPr>
          <w:rFonts w:ascii="Times New Roman" w:hAnsi="Times New Roman" w:cs="Times New Roman"/>
          <w:sz w:val="24"/>
          <w:szCs w:val="24"/>
        </w:rPr>
        <w:t xml:space="preserve">ha </w:t>
      </w:r>
      <w:r w:rsidR="00083CCE">
        <w:rPr>
          <w:rFonts w:ascii="Times New Roman" w:hAnsi="Times New Roman" w:cs="Times New Roman"/>
          <w:sz w:val="24"/>
          <w:szCs w:val="24"/>
        </w:rPr>
        <w:lastRenderedPageBreak/>
        <w:t xml:space="preserve">adottato una </w:t>
      </w:r>
      <w:r w:rsidR="005E7633">
        <w:rPr>
          <w:rFonts w:ascii="Times New Roman" w:hAnsi="Times New Roman" w:cs="Times New Roman"/>
          <w:sz w:val="24"/>
          <w:szCs w:val="24"/>
        </w:rPr>
        <w:t xml:space="preserve">formula </w:t>
      </w:r>
      <w:r w:rsidR="00083CCE">
        <w:rPr>
          <w:rFonts w:ascii="Times New Roman" w:hAnsi="Times New Roman" w:cs="Times New Roman"/>
          <w:sz w:val="24"/>
          <w:szCs w:val="24"/>
        </w:rPr>
        <w:t>che</w:t>
      </w:r>
      <w:r w:rsidR="005E7633">
        <w:rPr>
          <w:rFonts w:ascii="Times New Roman" w:hAnsi="Times New Roman" w:cs="Times New Roman"/>
          <w:sz w:val="24"/>
          <w:szCs w:val="24"/>
        </w:rPr>
        <w:t xml:space="preserve"> individua il limite dell’operatività della SCIA nei casi in cui “</w:t>
      </w:r>
      <w:r w:rsidR="005E7633" w:rsidRPr="005E7633">
        <w:rPr>
          <w:rFonts w:ascii="Times New Roman" w:hAnsi="Times New Roman" w:cs="Times New Roman"/>
          <w:i/>
          <w:sz w:val="24"/>
          <w:szCs w:val="24"/>
        </w:rPr>
        <w:t>siano richieste autorizzazioni espresse in relazione a vincoli normativi di carattere ambientale, paesaggistico o culturale o inerenti la salute, la sicurezza pubblica o la difesa nazionale</w:t>
      </w:r>
      <w:r w:rsidR="005E7633">
        <w:rPr>
          <w:rFonts w:ascii="Times New Roman" w:hAnsi="Times New Roman" w:cs="Times New Roman"/>
          <w:sz w:val="24"/>
          <w:szCs w:val="24"/>
        </w:rPr>
        <w:t>”. A ciò si aggiunga che all’art. 3, in cui vengono classificate le attività in ragione dei diversi regimi giuridici, al co. 2 si prevede che sono soggette a SCIA “</w:t>
      </w:r>
      <w:r w:rsidR="005E7633">
        <w:rPr>
          <w:rFonts w:ascii="Times New Roman" w:hAnsi="Times New Roman" w:cs="Times New Roman"/>
          <w:i/>
          <w:sz w:val="24"/>
          <w:szCs w:val="24"/>
        </w:rPr>
        <w:t>le attività dei privati che possono essere esercitate in presenza di requisiti e presupposti di legge la cui verifica non comporti valutazioni discrezion</w:t>
      </w:r>
      <w:r w:rsidR="007F15D0">
        <w:rPr>
          <w:rFonts w:ascii="Times New Roman" w:hAnsi="Times New Roman" w:cs="Times New Roman"/>
          <w:i/>
          <w:sz w:val="24"/>
          <w:szCs w:val="24"/>
        </w:rPr>
        <w:t>ali da parte delle pubbliche amm</w:t>
      </w:r>
      <w:r w:rsidR="005E7633">
        <w:rPr>
          <w:rFonts w:ascii="Times New Roman" w:hAnsi="Times New Roman" w:cs="Times New Roman"/>
          <w:i/>
          <w:sz w:val="24"/>
          <w:szCs w:val="24"/>
        </w:rPr>
        <w:t>inistrazioni</w:t>
      </w:r>
      <w:r w:rsidR="005E7633">
        <w:rPr>
          <w:rFonts w:ascii="Times New Roman" w:hAnsi="Times New Roman" w:cs="Times New Roman"/>
          <w:sz w:val="24"/>
          <w:szCs w:val="24"/>
        </w:rPr>
        <w:t>”.</w:t>
      </w:r>
    </w:p>
    <w:p w:rsidR="005E7633" w:rsidRDefault="007F15D0" w:rsidP="005E7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Dalla lettura combinata delle due disposizioni consegue che la SCIA opererebbe in presenza di attività vincolata della Pubblica Amministrazione (vincolata, come sottolineato dal Consiglio di Stato “a monte” e “a valle”), salvo che non si tratti dei casi in cui siano necessarie “autorizzazioni espresse”, </w:t>
      </w:r>
      <w:r w:rsidR="00083CCE">
        <w:rPr>
          <w:rFonts w:ascii="Times New Roman" w:hAnsi="Times New Roman" w:cs="Times New Roman"/>
          <w:sz w:val="24"/>
          <w:szCs w:val="24"/>
        </w:rPr>
        <w:t>cioè</w:t>
      </w:r>
      <w:r>
        <w:rPr>
          <w:rFonts w:ascii="Times New Roman" w:hAnsi="Times New Roman" w:cs="Times New Roman"/>
          <w:sz w:val="24"/>
          <w:szCs w:val="24"/>
        </w:rPr>
        <w:t xml:space="preserve"> in quelle ipotesi, indicate nel co. 3 dell’art. 3 del medesimo decreto, in cui le attività “</w:t>
      </w:r>
      <w:r w:rsidRPr="00083CCE">
        <w:rPr>
          <w:rFonts w:ascii="Times New Roman" w:hAnsi="Times New Roman" w:cs="Times New Roman"/>
          <w:i/>
          <w:sz w:val="24"/>
          <w:szCs w:val="24"/>
        </w:rPr>
        <w:t>possono essere esercitate in presenza di requisiti e presupposti che richiedono valutazioni discrezionali da parte delle pubbliche amministrazioni in base a specifiche disposizioni normative giustificate da motivi di interesse generale, nel rispetto dei principi di non discriminazione e di proporzionalità</w:t>
      </w:r>
      <w:r>
        <w:rPr>
          <w:rFonts w:ascii="Times New Roman" w:hAnsi="Times New Roman" w:cs="Times New Roman"/>
          <w:sz w:val="24"/>
          <w:szCs w:val="24"/>
        </w:rPr>
        <w:t>”.</w:t>
      </w:r>
    </w:p>
    <w:p w:rsidR="007F15D0" w:rsidRDefault="007F15D0" w:rsidP="007F15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 cons</w:t>
      </w:r>
      <w:r w:rsidR="00B87AC7">
        <w:rPr>
          <w:rFonts w:ascii="Times New Roman" w:hAnsi="Times New Roman" w:cs="Times New Roman"/>
          <w:sz w:val="24"/>
          <w:szCs w:val="24"/>
        </w:rPr>
        <w:t>eguenza, riconducendo a sistema</w:t>
      </w:r>
      <w:r>
        <w:rPr>
          <w:rFonts w:ascii="Times New Roman" w:hAnsi="Times New Roman" w:cs="Times New Roman"/>
          <w:sz w:val="24"/>
          <w:szCs w:val="24"/>
        </w:rPr>
        <w:t xml:space="preserve"> tutte le disposizioni sino ad ora esaminate della legge di delega e dei decreti attuativi, </w:t>
      </w:r>
      <w:r w:rsidR="00555FEE">
        <w:rPr>
          <w:rFonts w:ascii="Times New Roman" w:hAnsi="Times New Roman" w:cs="Times New Roman"/>
          <w:sz w:val="24"/>
          <w:szCs w:val="24"/>
        </w:rPr>
        <w:t>emergono due discipline: l’una, a carattere generale, e l’altra, per così dire speciale, nel caso di SCIA c.d. unica non pura. Nella prima ipotesi, laddove</w:t>
      </w:r>
      <w:r>
        <w:rPr>
          <w:rFonts w:ascii="Times New Roman" w:hAnsi="Times New Roman" w:cs="Times New Roman"/>
          <w:sz w:val="24"/>
          <w:szCs w:val="24"/>
        </w:rPr>
        <w:t xml:space="preserve"> la SCIA intercetti l’interesse sensibile</w:t>
      </w:r>
      <w:r w:rsidR="00555FEE">
        <w:rPr>
          <w:rFonts w:ascii="Times New Roman" w:hAnsi="Times New Roman" w:cs="Times New Roman"/>
          <w:sz w:val="24"/>
          <w:szCs w:val="24"/>
        </w:rPr>
        <w:t>,</w:t>
      </w:r>
      <w:r>
        <w:rPr>
          <w:rFonts w:ascii="Times New Roman" w:hAnsi="Times New Roman" w:cs="Times New Roman"/>
          <w:sz w:val="24"/>
          <w:szCs w:val="24"/>
        </w:rPr>
        <w:t xml:space="preserve"> la tutela di quest’ultimo </w:t>
      </w:r>
      <w:r w:rsidR="00555FEE">
        <w:rPr>
          <w:rFonts w:ascii="Times New Roman" w:hAnsi="Times New Roman" w:cs="Times New Roman"/>
          <w:sz w:val="24"/>
          <w:szCs w:val="24"/>
        </w:rPr>
        <w:t>è</w:t>
      </w:r>
      <w:r>
        <w:rPr>
          <w:rFonts w:ascii="Times New Roman" w:hAnsi="Times New Roman" w:cs="Times New Roman"/>
          <w:sz w:val="24"/>
          <w:szCs w:val="24"/>
        </w:rPr>
        <w:t xml:space="preserve"> garantita</w:t>
      </w:r>
      <w:r w:rsidR="00555FEE">
        <w:rPr>
          <w:rFonts w:ascii="Times New Roman" w:hAnsi="Times New Roman" w:cs="Times New Roman"/>
          <w:sz w:val="24"/>
          <w:szCs w:val="24"/>
        </w:rPr>
        <w:t xml:space="preserve"> </w:t>
      </w:r>
      <w:r>
        <w:rPr>
          <w:rFonts w:ascii="Times New Roman" w:hAnsi="Times New Roman" w:cs="Times New Roman"/>
          <w:sz w:val="24"/>
          <w:szCs w:val="24"/>
        </w:rPr>
        <w:t>da</w:t>
      </w:r>
      <w:r w:rsidR="00555FEE">
        <w:rPr>
          <w:rFonts w:ascii="Times New Roman" w:hAnsi="Times New Roman" w:cs="Times New Roman"/>
          <w:sz w:val="24"/>
          <w:szCs w:val="24"/>
        </w:rPr>
        <w:t>ll’operatività del co. 4 dell’art. 20 e, dunque, dall’inapplicabilità del silenzio assenso o, addirittura, dalla non applicabilità della SCIA nei casi in cui, effettuato il bilanciamento degli interessi, il legislatore ritenga comunque prevalente l’interesse sensibile e, conseguentemente, sottoponga l’attività ad autorizzazione espressa. Nella seconda ipotesi, trova applicazione la disciplina della conferenza dei servizi con la possibile operatività del silenzio assenso.</w:t>
      </w:r>
    </w:p>
    <w:p w:rsidR="00555FEE" w:rsidRPr="00555FEE" w:rsidRDefault="00555FEE" w:rsidP="007F15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entrambi i casi, in astratto, si può dire che gli interessi sensibili resistano alla riforma; in concreto, qualche dubbio sulla effettività della tutela sorge con ri</w:t>
      </w:r>
      <w:r w:rsidR="00B87AC7">
        <w:rPr>
          <w:rFonts w:ascii="Times New Roman" w:hAnsi="Times New Roman" w:cs="Times New Roman"/>
          <w:sz w:val="24"/>
          <w:szCs w:val="24"/>
        </w:rPr>
        <w:t>ferimento, come si è detto, al</w:t>
      </w:r>
      <w:r>
        <w:rPr>
          <w:rFonts w:ascii="Times New Roman" w:hAnsi="Times New Roman" w:cs="Times New Roman"/>
          <w:sz w:val="24"/>
          <w:szCs w:val="24"/>
        </w:rPr>
        <w:t xml:space="preserve"> </w:t>
      </w:r>
      <w:r>
        <w:rPr>
          <w:rFonts w:ascii="Times New Roman" w:hAnsi="Times New Roman" w:cs="Times New Roman"/>
          <w:i/>
          <w:sz w:val="24"/>
          <w:szCs w:val="24"/>
        </w:rPr>
        <w:t xml:space="preserve">modus </w:t>
      </w:r>
      <w:proofErr w:type="spellStart"/>
      <w:r>
        <w:rPr>
          <w:rFonts w:ascii="Times New Roman" w:hAnsi="Times New Roman" w:cs="Times New Roman"/>
          <w:i/>
          <w:sz w:val="24"/>
          <w:szCs w:val="24"/>
        </w:rPr>
        <w:t>procedendi</w:t>
      </w:r>
      <w:proofErr w:type="spellEnd"/>
      <w:r>
        <w:rPr>
          <w:rFonts w:ascii="Times New Roman" w:hAnsi="Times New Roman" w:cs="Times New Roman"/>
          <w:sz w:val="24"/>
          <w:szCs w:val="24"/>
        </w:rPr>
        <w:t xml:space="preserve"> delineato per la conferenza dei servizi.</w:t>
      </w:r>
    </w:p>
    <w:p w:rsidR="00A438B1" w:rsidRDefault="00A438B1" w:rsidP="00C44F00">
      <w:pPr>
        <w:spacing w:after="0" w:line="360" w:lineRule="auto"/>
        <w:jc w:val="both"/>
        <w:rPr>
          <w:rFonts w:ascii="Times New Roman" w:hAnsi="Times New Roman" w:cs="Times New Roman"/>
          <w:sz w:val="24"/>
          <w:szCs w:val="24"/>
        </w:rPr>
      </w:pPr>
    </w:p>
    <w:p w:rsidR="00255A84" w:rsidRPr="00CE7707" w:rsidRDefault="00255A84" w:rsidP="00C44F00">
      <w:pPr>
        <w:spacing w:after="0" w:line="360" w:lineRule="auto"/>
        <w:jc w:val="both"/>
        <w:rPr>
          <w:rFonts w:ascii="Times New Roman" w:hAnsi="Times New Roman" w:cs="Times New Roman"/>
          <w:sz w:val="24"/>
          <w:szCs w:val="24"/>
        </w:rPr>
      </w:pPr>
    </w:p>
    <w:sectPr w:rsidR="00255A84" w:rsidRPr="00CE7707" w:rsidSect="00C44F00">
      <w:footerReference w:type="default" r:id="rId9"/>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F63" w:rsidRDefault="009D6F63" w:rsidP="008B53D9">
      <w:pPr>
        <w:spacing w:after="0" w:line="240" w:lineRule="auto"/>
      </w:pPr>
      <w:r>
        <w:separator/>
      </w:r>
    </w:p>
  </w:endnote>
  <w:endnote w:type="continuationSeparator" w:id="0">
    <w:p w:rsidR="009D6F63" w:rsidRDefault="009D6F63" w:rsidP="008B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701828"/>
      <w:docPartObj>
        <w:docPartGallery w:val="Page Numbers (Bottom of Page)"/>
        <w:docPartUnique/>
      </w:docPartObj>
    </w:sdtPr>
    <w:sdtEndPr/>
    <w:sdtContent>
      <w:p w:rsidR="003563C8" w:rsidRDefault="003563C8">
        <w:pPr>
          <w:pStyle w:val="Pidipagina"/>
          <w:jc w:val="center"/>
        </w:pPr>
        <w:r>
          <w:fldChar w:fldCharType="begin"/>
        </w:r>
        <w:r>
          <w:instrText>PAGE   \* MERGEFORMAT</w:instrText>
        </w:r>
        <w:r>
          <w:fldChar w:fldCharType="separate"/>
        </w:r>
        <w:r w:rsidR="00CE4A73">
          <w:rPr>
            <w:noProof/>
          </w:rPr>
          <w:t>1</w:t>
        </w:r>
        <w:r>
          <w:fldChar w:fldCharType="end"/>
        </w:r>
      </w:p>
    </w:sdtContent>
  </w:sdt>
  <w:p w:rsidR="003563C8" w:rsidRDefault="003563C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F63" w:rsidRDefault="009D6F63" w:rsidP="008B53D9">
      <w:pPr>
        <w:spacing w:after="0" w:line="240" w:lineRule="auto"/>
      </w:pPr>
      <w:r>
        <w:separator/>
      </w:r>
    </w:p>
  </w:footnote>
  <w:footnote w:type="continuationSeparator" w:id="0">
    <w:p w:rsidR="009D6F63" w:rsidRDefault="009D6F63" w:rsidP="008B53D9">
      <w:pPr>
        <w:spacing w:after="0" w:line="240" w:lineRule="auto"/>
      </w:pPr>
      <w:r>
        <w:continuationSeparator/>
      </w:r>
    </w:p>
  </w:footnote>
  <w:footnote w:id="1">
    <w:p w:rsidR="00B91040" w:rsidRDefault="00B91040" w:rsidP="00A379F6">
      <w:pPr>
        <w:pStyle w:val="Testonotaapidipagina"/>
        <w:jc w:val="both"/>
      </w:pPr>
      <w:r>
        <w:rPr>
          <w:rStyle w:val="Rimandonotaapidipagina"/>
        </w:rPr>
        <w:footnoteRef/>
      </w:r>
      <w:r>
        <w:t xml:space="preserve"> </w:t>
      </w:r>
      <w:proofErr w:type="spellStart"/>
      <w:r>
        <w:rPr>
          <w:rFonts w:ascii="Times New Roman" w:hAnsi="Times New Roman" w:cs="Times New Roman"/>
          <w:sz w:val="22"/>
          <w:szCs w:val="22"/>
        </w:rPr>
        <w:t>Confr</w:t>
      </w:r>
      <w:proofErr w:type="spellEnd"/>
      <w:r>
        <w:rPr>
          <w:rFonts w:ascii="Times New Roman" w:hAnsi="Times New Roman" w:cs="Times New Roman"/>
          <w:sz w:val="22"/>
          <w:szCs w:val="22"/>
        </w:rPr>
        <w:t xml:space="preserve">. </w:t>
      </w:r>
      <w:r w:rsidRPr="0025397D">
        <w:rPr>
          <w:rFonts w:ascii="Times New Roman" w:hAnsi="Times New Roman" w:cs="Times New Roman"/>
          <w:sz w:val="22"/>
          <w:szCs w:val="22"/>
        </w:rPr>
        <w:t xml:space="preserve">F. De Leonardis, </w:t>
      </w:r>
      <w:r w:rsidRPr="0025397D">
        <w:rPr>
          <w:rFonts w:ascii="Times New Roman" w:hAnsi="Times New Roman" w:cs="Times New Roman"/>
          <w:i/>
          <w:sz w:val="22"/>
          <w:szCs w:val="22"/>
        </w:rPr>
        <w:t>Il silenzio assenso in materia ambientale: considerazioni critiche sull’art. 17bis introdotto dalla cd. riforma Madia</w:t>
      </w:r>
      <w:r w:rsidRPr="0025397D">
        <w:rPr>
          <w:rFonts w:ascii="Times New Roman" w:hAnsi="Times New Roman" w:cs="Times New Roman"/>
          <w:sz w:val="22"/>
          <w:szCs w:val="22"/>
        </w:rPr>
        <w:t>, in federalismi.it, n. 20/2015.</w:t>
      </w:r>
    </w:p>
  </w:footnote>
  <w:footnote w:id="2">
    <w:p w:rsidR="008B53D9" w:rsidRPr="0025397D" w:rsidRDefault="008B53D9" w:rsidP="0025397D">
      <w:pPr>
        <w:pStyle w:val="Testonotaapidipagina"/>
        <w:jc w:val="both"/>
        <w:rPr>
          <w:rFonts w:ascii="Times New Roman" w:hAnsi="Times New Roman" w:cs="Times New Roman"/>
          <w:sz w:val="22"/>
          <w:szCs w:val="22"/>
        </w:rPr>
      </w:pPr>
      <w:r w:rsidRPr="0025397D">
        <w:rPr>
          <w:rStyle w:val="Rimandonotaapidipagina"/>
          <w:rFonts w:ascii="Times New Roman" w:hAnsi="Times New Roman" w:cs="Times New Roman"/>
          <w:sz w:val="22"/>
          <w:szCs w:val="22"/>
        </w:rPr>
        <w:footnoteRef/>
      </w:r>
      <w:r w:rsidRPr="0025397D">
        <w:rPr>
          <w:rFonts w:ascii="Times New Roman" w:hAnsi="Times New Roman" w:cs="Times New Roman"/>
          <w:sz w:val="22"/>
          <w:szCs w:val="22"/>
        </w:rPr>
        <w:t xml:space="preserve"> Corte Costituzionale, 27 giugno 1986, n. 151.</w:t>
      </w:r>
    </w:p>
  </w:footnote>
  <w:footnote w:id="3">
    <w:p w:rsidR="00F23922" w:rsidRPr="0025397D" w:rsidRDefault="00F23922" w:rsidP="0025397D">
      <w:pPr>
        <w:pStyle w:val="Testonotaapidipagina"/>
        <w:jc w:val="both"/>
        <w:rPr>
          <w:rFonts w:ascii="Times New Roman" w:hAnsi="Times New Roman" w:cs="Times New Roman"/>
          <w:sz w:val="22"/>
          <w:szCs w:val="22"/>
        </w:rPr>
      </w:pPr>
      <w:r w:rsidRPr="0025397D">
        <w:rPr>
          <w:rStyle w:val="Rimandonotaapidipagina"/>
          <w:rFonts w:ascii="Times New Roman" w:hAnsi="Times New Roman" w:cs="Times New Roman"/>
          <w:sz w:val="22"/>
          <w:szCs w:val="22"/>
        </w:rPr>
        <w:footnoteRef/>
      </w:r>
      <w:r w:rsidRPr="0025397D">
        <w:rPr>
          <w:rFonts w:ascii="Times New Roman" w:hAnsi="Times New Roman" w:cs="Times New Roman"/>
          <w:sz w:val="22"/>
          <w:szCs w:val="22"/>
        </w:rPr>
        <w:t xml:space="preserve"> </w:t>
      </w:r>
      <w:proofErr w:type="spellStart"/>
      <w:r w:rsidRPr="0025397D">
        <w:rPr>
          <w:rFonts w:ascii="Times New Roman" w:hAnsi="Times New Roman" w:cs="Times New Roman"/>
          <w:sz w:val="22"/>
          <w:szCs w:val="22"/>
        </w:rPr>
        <w:t>Confr</w:t>
      </w:r>
      <w:proofErr w:type="spellEnd"/>
      <w:r w:rsidRPr="0025397D">
        <w:rPr>
          <w:rFonts w:ascii="Times New Roman" w:hAnsi="Times New Roman" w:cs="Times New Roman"/>
          <w:sz w:val="22"/>
          <w:szCs w:val="22"/>
        </w:rPr>
        <w:t>. Corte Costituzionale, 24 giugno 2004, n. 196.</w:t>
      </w:r>
    </w:p>
  </w:footnote>
  <w:footnote w:id="4">
    <w:p w:rsidR="00466D39" w:rsidRPr="0025397D" w:rsidRDefault="00466D39" w:rsidP="0025397D">
      <w:pPr>
        <w:pStyle w:val="Testonotaapidipagina"/>
        <w:jc w:val="both"/>
        <w:rPr>
          <w:rFonts w:ascii="Times New Roman" w:hAnsi="Times New Roman" w:cs="Times New Roman"/>
          <w:sz w:val="22"/>
          <w:szCs w:val="22"/>
        </w:rPr>
      </w:pPr>
      <w:r w:rsidRPr="0025397D">
        <w:rPr>
          <w:rStyle w:val="Rimandonotaapidipagina"/>
          <w:rFonts w:ascii="Times New Roman" w:hAnsi="Times New Roman" w:cs="Times New Roman"/>
          <w:sz w:val="22"/>
          <w:szCs w:val="22"/>
        </w:rPr>
        <w:footnoteRef/>
      </w:r>
      <w:r w:rsidRPr="0025397D">
        <w:rPr>
          <w:rFonts w:ascii="Times New Roman" w:hAnsi="Times New Roman" w:cs="Times New Roman"/>
          <w:sz w:val="22"/>
          <w:szCs w:val="22"/>
        </w:rPr>
        <w:t xml:space="preserve"> Corte Costituzionale, 9 aprile 2013, n. 85. Si legge nella parte motiva: “</w:t>
      </w:r>
      <w:r w:rsidRPr="006B1C43">
        <w:rPr>
          <w:rFonts w:ascii="Times New Roman" w:hAnsi="Times New Roman" w:cs="Times New Roman"/>
          <w:i/>
          <w:sz w:val="22"/>
          <w:szCs w:val="22"/>
        </w:rPr>
        <w:t>La qualificazione come “primari” dei valori dell’ambiente e della salute significa pertanto che gli stessi non possono essere sacrificati ad altri interessi, ancorché costituzionalmente tutelati, non già che gli stessi siano posti alla sommità di un ordine gerarchico assoluto. Il punto di equilibrio, proprio perché dinamico e non prefissato in anticipo, deve essere valutato – dal legislatore nella statuizione delle norme e dal giudice delle leggi in sede di controllo – secondo criteri di proporzionalità e di ragionevolezza, tali da non consentire un sacrificio del loro nucleo essenziale</w:t>
      </w:r>
      <w:r w:rsidRPr="0025397D">
        <w:rPr>
          <w:rFonts w:ascii="Times New Roman" w:hAnsi="Times New Roman" w:cs="Times New Roman"/>
          <w:sz w:val="22"/>
          <w:szCs w:val="22"/>
        </w:rPr>
        <w:t>”.</w:t>
      </w:r>
    </w:p>
    <w:p w:rsidR="00466D39" w:rsidRPr="0025397D" w:rsidRDefault="00466D39" w:rsidP="0025397D">
      <w:pPr>
        <w:pStyle w:val="Testonotaapidipagina"/>
        <w:jc w:val="both"/>
        <w:rPr>
          <w:rFonts w:ascii="Times New Roman" w:hAnsi="Times New Roman" w:cs="Times New Roman"/>
          <w:sz w:val="22"/>
          <w:szCs w:val="22"/>
        </w:rPr>
      </w:pPr>
    </w:p>
  </w:footnote>
  <w:footnote w:id="5">
    <w:p w:rsidR="00E70A57" w:rsidRPr="0025397D" w:rsidRDefault="00E70A57" w:rsidP="0025397D">
      <w:pPr>
        <w:pStyle w:val="Testonotaapidipagina"/>
        <w:jc w:val="both"/>
        <w:rPr>
          <w:rFonts w:ascii="Times New Roman" w:hAnsi="Times New Roman" w:cs="Times New Roman"/>
          <w:sz w:val="22"/>
          <w:szCs w:val="22"/>
        </w:rPr>
      </w:pPr>
      <w:r w:rsidRPr="0025397D">
        <w:rPr>
          <w:rStyle w:val="Rimandonotaapidipagina"/>
          <w:rFonts w:ascii="Times New Roman" w:hAnsi="Times New Roman" w:cs="Times New Roman"/>
          <w:sz w:val="22"/>
          <w:szCs w:val="22"/>
        </w:rPr>
        <w:footnoteRef/>
      </w:r>
      <w:r w:rsidRPr="0025397D">
        <w:rPr>
          <w:rFonts w:ascii="Times New Roman" w:hAnsi="Times New Roman" w:cs="Times New Roman"/>
          <w:sz w:val="22"/>
          <w:szCs w:val="22"/>
        </w:rPr>
        <w:t xml:space="preserve"> </w:t>
      </w:r>
      <w:proofErr w:type="spellStart"/>
      <w:r w:rsidR="006B1C43">
        <w:rPr>
          <w:rFonts w:ascii="Times New Roman" w:hAnsi="Times New Roman" w:cs="Times New Roman"/>
          <w:sz w:val="22"/>
          <w:szCs w:val="22"/>
        </w:rPr>
        <w:t>Confr</w:t>
      </w:r>
      <w:proofErr w:type="spellEnd"/>
      <w:r w:rsidR="006B1C43">
        <w:rPr>
          <w:rFonts w:ascii="Times New Roman" w:hAnsi="Times New Roman" w:cs="Times New Roman"/>
          <w:sz w:val="22"/>
          <w:szCs w:val="22"/>
        </w:rPr>
        <w:t>.,</w:t>
      </w:r>
      <w:r w:rsidRPr="0025397D">
        <w:rPr>
          <w:rFonts w:ascii="Times New Roman" w:hAnsi="Times New Roman" w:cs="Times New Roman"/>
          <w:sz w:val="22"/>
          <w:szCs w:val="22"/>
        </w:rPr>
        <w:t xml:space="preserve"> M.A. </w:t>
      </w:r>
      <w:proofErr w:type="spellStart"/>
      <w:r w:rsidRPr="0025397D">
        <w:rPr>
          <w:rFonts w:ascii="Times New Roman" w:hAnsi="Times New Roman" w:cs="Times New Roman"/>
          <w:sz w:val="22"/>
          <w:szCs w:val="22"/>
        </w:rPr>
        <w:t>Sandulli</w:t>
      </w:r>
      <w:proofErr w:type="spellEnd"/>
      <w:r w:rsidRPr="0025397D">
        <w:rPr>
          <w:rFonts w:ascii="Times New Roman" w:hAnsi="Times New Roman" w:cs="Times New Roman"/>
          <w:sz w:val="22"/>
          <w:szCs w:val="22"/>
        </w:rPr>
        <w:t xml:space="preserve">, </w:t>
      </w:r>
      <w:r w:rsidRPr="0025397D">
        <w:rPr>
          <w:rFonts w:ascii="Times New Roman" w:hAnsi="Times New Roman" w:cs="Times New Roman"/>
          <w:i/>
          <w:sz w:val="22"/>
          <w:szCs w:val="22"/>
        </w:rPr>
        <w:t xml:space="preserve">Gli effetti diretti della 7 agosto 2015 L. n. 124 sulle attività economiche: le novità in tema di </w:t>
      </w:r>
      <w:proofErr w:type="spellStart"/>
      <w:r w:rsidRPr="0025397D">
        <w:rPr>
          <w:rFonts w:ascii="Times New Roman" w:hAnsi="Times New Roman" w:cs="Times New Roman"/>
          <w:i/>
          <w:sz w:val="22"/>
          <w:szCs w:val="22"/>
        </w:rPr>
        <w:t>s.c.i.a</w:t>
      </w:r>
      <w:proofErr w:type="spellEnd"/>
      <w:r w:rsidRPr="0025397D">
        <w:rPr>
          <w:rFonts w:ascii="Times New Roman" w:hAnsi="Times New Roman" w:cs="Times New Roman"/>
          <w:i/>
          <w:sz w:val="22"/>
          <w:szCs w:val="22"/>
        </w:rPr>
        <w:t>., silenzio-assenso e autotutela</w:t>
      </w:r>
      <w:r w:rsidRPr="0025397D">
        <w:rPr>
          <w:rFonts w:ascii="Times New Roman" w:hAnsi="Times New Roman" w:cs="Times New Roman"/>
          <w:sz w:val="22"/>
          <w:szCs w:val="22"/>
        </w:rPr>
        <w:t>, in federalismi.it, n. 17/2015</w:t>
      </w:r>
      <w:r w:rsidR="00A379F6">
        <w:rPr>
          <w:rFonts w:ascii="Times New Roman" w:hAnsi="Times New Roman" w:cs="Times New Roman"/>
          <w:sz w:val="22"/>
          <w:szCs w:val="22"/>
        </w:rPr>
        <w:t>.</w:t>
      </w:r>
    </w:p>
  </w:footnote>
  <w:footnote w:id="6">
    <w:p w:rsidR="0025397D" w:rsidRPr="0025397D" w:rsidRDefault="0025397D" w:rsidP="0025397D">
      <w:pPr>
        <w:pStyle w:val="Testonotaapidipagina"/>
        <w:jc w:val="both"/>
        <w:rPr>
          <w:rFonts w:ascii="Times New Roman" w:hAnsi="Times New Roman" w:cs="Times New Roman"/>
          <w:sz w:val="22"/>
          <w:szCs w:val="22"/>
        </w:rPr>
      </w:pPr>
      <w:r w:rsidRPr="0025397D">
        <w:rPr>
          <w:rStyle w:val="Rimandonotaapidipagina"/>
          <w:rFonts w:ascii="Times New Roman" w:hAnsi="Times New Roman" w:cs="Times New Roman"/>
          <w:sz w:val="22"/>
          <w:szCs w:val="22"/>
        </w:rPr>
        <w:footnoteRef/>
      </w:r>
      <w:r w:rsidRPr="0025397D">
        <w:rPr>
          <w:rFonts w:ascii="Times New Roman" w:hAnsi="Times New Roman" w:cs="Times New Roman"/>
          <w:sz w:val="22"/>
          <w:szCs w:val="22"/>
        </w:rPr>
        <w:t xml:space="preserve"> Dalla lettura combinata delle disposizioni di cui agli artt. 19, 21 e 21 </w:t>
      </w:r>
      <w:proofErr w:type="spellStart"/>
      <w:r w:rsidRPr="0025397D">
        <w:rPr>
          <w:rFonts w:ascii="Times New Roman" w:hAnsi="Times New Roman" w:cs="Times New Roman"/>
          <w:sz w:val="22"/>
          <w:szCs w:val="22"/>
        </w:rPr>
        <w:t>nonies</w:t>
      </w:r>
      <w:proofErr w:type="spellEnd"/>
      <w:r w:rsidRPr="0025397D">
        <w:rPr>
          <w:rFonts w:ascii="Times New Roman" w:hAnsi="Times New Roman" w:cs="Times New Roman"/>
          <w:sz w:val="22"/>
          <w:szCs w:val="22"/>
        </w:rPr>
        <w:t xml:space="preserve">, la disciplina degli interessi sensibili risulta infatti essere la seguente: la P.A. adotta i provvedimenti motivati di divieto di prosecuzione e di rimozione (salvo che non sia possibile conformare l’attività o che il privato, nel termine concesso, non abbia conformato l’attività) alle condizioni di cui all’art. 21-nonies, ossia nel termine massimo di 18 mesi (fermi restando i dubbi sollevati dal Consiglio di Stato riguardo il </w:t>
      </w:r>
      <w:proofErr w:type="spellStart"/>
      <w:r w:rsidRPr="00A379F6">
        <w:rPr>
          <w:rFonts w:ascii="Times New Roman" w:hAnsi="Times New Roman" w:cs="Times New Roman"/>
          <w:i/>
          <w:sz w:val="22"/>
          <w:szCs w:val="22"/>
        </w:rPr>
        <w:t>dies</w:t>
      </w:r>
      <w:proofErr w:type="spellEnd"/>
      <w:r w:rsidRPr="00A379F6">
        <w:rPr>
          <w:rFonts w:ascii="Times New Roman" w:hAnsi="Times New Roman" w:cs="Times New Roman"/>
          <w:i/>
          <w:sz w:val="22"/>
          <w:szCs w:val="22"/>
        </w:rPr>
        <w:t xml:space="preserve"> a quo</w:t>
      </w:r>
      <w:r w:rsidRPr="0025397D">
        <w:rPr>
          <w:rFonts w:ascii="Times New Roman" w:hAnsi="Times New Roman" w:cs="Times New Roman"/>
          <w:sz w:val="22"/>
          <w:szCs w:val="22"/>
        </w:rPr>
        <w:t xml:space="preserve"> per la decorrenza del termine stesso), laddove sussistano ragioni di interesse pubblico e tenuto conto degli interessi dei destinatari e dei controinteressati. Con l’eccezione delle ipotesi di dichiarazioni mendaci o di false attestazioni, per le quali, ai sensi dell’art. 21, non è consentita la conformazione dell’attività o la sanatoria e non opera il limi</w:t>
      </w:r>
      <w:r w:rsidR="00D65ADD">
        <w:rPr>
          <w:rFonts w:ascii="Times New Roman" w:hAnsi="Times New Roman" w:cs="Times New Roman"/>
          <w:sz w:val="22"/>
          <w:szCs w:val="22"/>
        </w:rPr>
        <w:t xml:space="preserve">te temporale ex art. 21 </w:t>
      </w:r>
      <w:proofErr w:type="spellStart"/>
      <w:r w:rsidR="00D65ADD">
        <w:rPr>
          <w:rFonts w:ascii="Times New Roman" w:hAnsi="Times New Roman" w:cs="Times New Roman"/>
          <w:sz w:val="22"/>
          <w:szCs w:val="22"/>
        </w:rPr>
        <w:t>nonies</w:t>
      </w:r>
      <w:proofErr w:type="spellEnd"/>
      <w:r w:rsidR="00D65ADD">
        <w:rPr>
          <w:rFonts w:ascii="Times New Roman" w:hAnsi="Times New Roman" w:cs="Times New Roman"/>
          <w:sz w:val="22"/>
          <w:szCs w:val="22"/>
        </w:rPr>
        <w:t>.</w:t>
      </w:r>
    </w:p>
    <w:p w:rsidR="0025397D" w:rsidRPr="0025397D" w:rsidRDefault="0025397D" w:rsidP="0025397D">
      <w:pPr>
        <w:pStyle w:val="Testonotaapidipagina"/>
        <w:jc w:val="both"/>
        <w:rPr>
          <w:rFonts w:ascii="Times New Roman" w:hAnsi="Times New Roman" w:cs="Times New Roman"/>
          <w:sz w:val="22"/>
          <w:szCs w:val="22"/>
        </w:rPr>
      </w:pPr>
    </w:p>
  </w:footnote>
  <w:footnote w:id="7">
    <w:p w:rsidR="00DF27C6" w:rsidRPr="0025397D" w:rsidRDefault="00DF27C6" w:rsidP="0025397D">
      <w:pPr>
        <w:pStyle w:val="Testonotaapidipagina"/>
        <w:jc w:val="both"/>
        <w:rPr>
          <w:rFonts w:ascii="Times New Roman" w:hAnsi="Times New Roman" w:cs="Times New Roman"/>
          <w:sz w:val="22"/>
          <w:szCs w:val="22"/>
        </w:rPr>
      </w:pPr>
      <w:r w:rsidRPr="0025397D">
        <w:rPr>
          <w:rStyle w:val="Rimandonotaapidipagina"/>
          <w:rFonts w:ascii="Times New Roman" w:hAnsi="Times New Roman" w:cs="Times New Roman"/>
          <w:sz w:val="22"/>
          <w:szCs w:val="22"/>
        </w:rPr>
        <w:footnoteRef/>
      </w:r>
      <w:r w:rsidRPr="0025397D">
        <w:rPr>
          <w:rFonts w:ascii="Times New Roman" w:hAnsi="Times New Roman" w:cs="Times New Roman"/>
          <w:sz w:val="22"/>
          <w:szCs w:val="22"/>
        </w:rPr>
        <w:t xml:space="preserve"> </w:t>
      </w:r>
      <w:r w:rsidR="00CC7F30" w:rsidRPr="0025397D">
        <w:rPr>
          <w:rFonts w:ascii="Times New Roman" w:hAnsi="Times New Roman" w:cs="Times New Roman"/>
          <w:sz w:val="22"/>
          <w:szCs w:val="22"/>
        </w:rPr>
        <w:t xml:space="preserve">Art. 20, co. 4: </w:t>
      </w:r>
      <w:r w:rsidRPr="0025397D">
        <w:rPr>
          <w:rFonts w:ascii="Times New Roman" w:hAnsi="Times New Roman" w:cs="Times New Roman"/>
          <w:sz w:val="22"/>
          <w:szCs w:val="22"/>
        </w:rPr>
        <w:t>“</w:t>
      </w:r>
      <w:r w:rsidRPr="00FF29C1">
        <w:rPr>
          <w:rFonts w:ascii="Times New Roman" w:hAnsi="Times New Roman" w:cs="Times New Roman"/>
          <w:i/>
          <w:sz w:val="22"/>
          <w:szCs w:val="22"/>
        </w:rPr>
        <w:t>Le disposizioni del presente articolo non si applicano agli atti e procedimenti riguardanti il patrimonio culturale e paesaggistico, l'ambiente, la tutela dal rischio idrogeologico, la difesa nazionale, la pubblica sicurezza e l'immigrazione, l’immigrazione, l’asilo e la cittadinanza, la salute e la pubblica incolumità, ai casi in cui la normativa comunitaria impone l'adozione di provvedimenti amministrativi formali, ai casi in cui la legge qualifica il silenzio dell'amministrazione come rigetto dell'istanza, nonché agli atti e procedimenti individuati con uno o più decreti del Presidente del Consiglio dei ministri, su proposta del Ministro per la funzione pubblica, di concerto con i Ministri competenti</w:t>
      </w:r>
      <w:r w:rsidRPr="0025397D">
        <w:rPr>
          <w:rFonts w:ascii="Times New Roman" w:hAnsi="Times New Roman" w:cs="Times New Roman"/>
          <w:sz w:val="22"/>
          <w:szCs w:val="22"/>
        </w:rPr>
        <w:t>”</w:t>
      </w:r>
      <w:r w:rsidR="00AA1F07" w:rsidRPr="0025397D">
        <w:rPr>
          <w:rFonts w:ascii="Times New Roman" w:hAnsi="Times New Roman" w:cs="Times New Roman"/>
          <w:sz w:val="22"/>
          <w:szCs w:val="22"/>
        </w:rPr>
        <w:t>.</w:t>
      </w:r>
    </w:p>
  </w:footnote>
  <w:footnote w:id="8">
    <w:p w:rsidR="00E65806" w:rsidRPr="0025397D" w:rsidRDefault="00E65806" w:rsidP="00E65806">
      <w:pPr>
        <w:pStyle w:val="Testonotaapidipagina"/>
        <w:jc w:val="both"/>
        <w:rPr>
          <w:rFonts w:ascii="Times New Roman" w:hAnsi="Times New Roman" w:cs="Times New Roman"/>
          <w:sz w:val="22"/>
          <w:szCs w:val="22"/>
        </w:rPr>
      </w:pPr>
      <w:r w:rsidRPr="0025397D">
        <w:rPr>
          <w:rStyle w:val="Rimandonotaapidipagina"/>
          <w:rFonts w:ascii="Times New Roman" w:hAnsi="Times New Roman" w:cs="Times New Roman"/>
          <w:sz w:val="22"/>
          <w:szCs w:val="22"/>
        </w:rPr>
        <w:footnoteRef/>
      </w:r>
      <w:r w:rsidRPr="0025397D">
        <w:rPr>
          <w:rFonts w:ascii="Times New Roman" w:hAnsi="Times New Roman" w:cs="Times New Roman"/>
          <w:sz w:val="22"/>
          <w:szCs w:val="22"/>
        </w:rPr>
        <w:t xml:space="preserve"> </w:t>
      </w:r>
      <w:r>
        <w:rPr>
          <w:rFonts w:ascii="Times New Roman" w:hAnsi="Times New Roman" w:cs="Times New Roman"/>
          <w:sz w:val="22"/>
          <w:szCs w:val="22"/>
        </w:rPr>
        <w:t xml:space="preserve">Sul punto, </w:t>
      </w:r>
      <w:proofErr w:type="spellStart"/>
      <w:r>
        <w:rPr>
          <w:rFonts w:ascii="Times New Roman" w:hAnsi="Times New Roman" w:cs="Times New Roman"/>
          <w:sz w:val="22"/>
          <w:szCs w:val="22"/>
        </w:rPr>
        <w:t>confr</w:t>
      </w:r>
      <w:proofErr w:type="spellEnd"/>
      <w:r>
        <w:rPr>
          <w:rFonts w:ascii="Times New Roman" w:hAnsi="Times New Roman" w:cs="Times New Roman"/>
          <w:sz w:val="22"/>
          <w:szCs w:val="22"/>
        </w:rPr>
        <w:t xml:space="preserve">. </w:t>
      </w:r>
      <w:r w:rsidRPr="0025397D">
        <w:rPr>
          <w:rFonts w:ascii="Times New Roman" w:hAnsi="Times New Roman" w:cs="Times New Roman"/>
          <w:sz w:val="22"/>
          <w:szCs w:val="22"/>
        </w:rPr>
        <w:t xml:space="preserve">F. De Leonardis, </w:t>
      </w:r>
      <w:r w:rsidR="00B91040">
        <w:rPr>
          <w:rFonts w:ascii="Times New Roman" w:hAnsi="Times New Roman" w:cs="Times New Roman"/>
          <w:i/>
          <w:sz w:val="22"/>
          <w:szCs w:val="22"/>
        </w:rPr>
        <w:t>op. cit</w:t>
      </w:r>
      <w:r w:rsidRPr="0025397D">
        <w:rPr>
          <w:rFonts w:ascii="Times New Roman" w:hAnsi="Times New Roman" w:cs="Times New Roman"/>
          <w:sz w:val="22"/>
          <w:szCs w:val="22"/>
        </w:rPr>
        <w:t>.</w:t>
      </w:r>
    </w:p>
  </w:footnote>
  <w:footnote w:id="9">
    <w:p w:rsidR="00556307" w:rsidRDefault="00556307" w:rsidP="00556307">
      <w:pPr>
        <w:pStyle w:val="Testonotaapidipagina"/>
        <w:jc w:val="both"/>
      </w:pPr>
      <w:r>
        <w:rPr>
          <w:rStyle w:val="Rimandonotaapidipagina"/>
        </w:rPr>
        <w:footnoteRef/>
      </w:r>
      <w:r>
        <w:t xml:space="preserve"> </w:t>
      </w:r>
      <w:r w:rsidRPr="00556307">
        <w:rPr>
          <w:rFonts w:ascii="Times New Roman" w:hAnsi="Times New Roman" w:cs="Times New Roman"/>
          <w:sz w:val="22"/>
          <w:szCs w:val="22"/>
        </w:rPr>
        <w:t xml:space="preserve">Sul punto, F. De Leonardis, </w:t>
      </w:r>
      <w:r w:rsidRPr="00556307">
        <w:rPr>
          <w:rFonts w:ascii="Times New Roman" w:hAnsi="Times New Roman" w:cs="Times New Roman"/>
          <w:i/>
          <w:sz w:val="22"/>
          <w:szCs w:val="22"/>
        </w:rPr>
        <w:t>op. cit.</w:t>
      </w:r>
      <w:r w:rsidRPr="00556307">
        <w:rPr>
          <w:rFonts w:ascii="Times New Roman" w:hAnsi="Times New Roman" w:cs="Times New Roman"/>
          <w:sz w:val="22"/>
          <w:szCs w:val="22"/>
        </w:rPr>
        <w:t>, sottolinea come “</w:t>
      </w:r>
      <w:r w:rsidRPr="00556307">
        <w:rPr>
          <w:rFonts w:ascii="Times New Roman" w:hAnsi="Times New Roman" w:cs="Times New Roman"/>
          <w:i/>
          <w:sz w:val="22"/>
          <w:szCs w:val="22"/>
        </w:rPr>
        <w:t>Alla luce di tutto ciò la clausola di salvaguardia inserita all’ultimo comma per la quale il regime del silenzio assenso non varrebbe nell’ipotesi in cui il diritto europeo richieda provvedimenti espressi, appare come una foglia di fico, la cui introduzione appare senz’altro assai intelligente, ma contrasta con l’esigenza di chiarezza e di certezza delle norme giuridiche</w:t>
      </w:r>
      <w:r w:rsidRPr="00556307">
        <w:rPr>
          <w:rFonts w:ascii="Times New Roman" w:hAnsi="Times New Roman" w:cs="Times New Roman"/>
          <w:sz w:val="22"/>
          <w:szCs w:val="22"/>
        </w:rPr>
        <w:t>”, p. 8.</w:t>
      </w:r>
    </w:p>
  </w:footnote>
  <w:footnote w:id="10">
    <w:p w:rsidR="00CD70F9" w:rsidRPr="007F15D0" w:rsidRDefault="00CD70F9" w:rsidP="007F15D0">
      <w:pPr>
        <w:pStyle w:val="Testonotaapidipagina"/>
        <w:jc w:val="both"/>
        <w:rPr>
          <w:rFonts w:ascii="Times New Roman" w:hAnsi="Times New Roman" w:cs="Times New Roman"/>
          <w:i/>
          <w:sz w:val="22"/>
          <w:szCs w:val="22"/>
        </w:rPr>
      </w:pPr>
      <w:r w:rsidRPr="007F15D0">
        <w:rPr>
          <w:rStyle w:val="Rimandonotaapidipagina"/>
          <w:rFonts w:ascii="Times New Roman" w:hAnsi="Times New Roman" w:cs="Times New Roman"/>
          <w:sz w:val="22"/>
          <w:szCs w:val="22"/>
        </w:rPr>
        <w:footnoteRef/>
      </w:r>
      <w:r w:rsidRPr="007F15D0">
        <w:rPr>
          <w:rFonts w:ascii="Times New Roman" w:hAnsi="Times New Roman" w:cs="Times New Roman"/>
          <w:sz w:val="22"/>
          <w:szCs w:val="22"/>
        </w:rPr>
        <w:t xml:space="preserve"> “</w:t>
      </w:r>
      <w:r w:rsidRPr="007F15D0">
        <w:rPr>
          <w:rFonts w:ascii="Times New Roman" w:hAnsi="Times New Roman" w:cs="Times New Roman"/>
          <w:i/>
          <w:sz w:val="22"/>
          <w:szCs w:val="22"/>
        </w:rPr>
        <w:t>g) previsione che si consideri comunque acquisito l'assenso delle amministrazioni, ivi comprese quelle preposte alla tutela della salute, del patrimonio storico-artistico e dell'ambiente che, entro il termine dei lavori della conferenza, non si siano espresse nelle forme di legge; […]</w:t>
      </w:r>
    </w:p>
    <w:p w:rsidR="00CD70F9" w:rsidRPr="007F15D0" w:rsidRDefault="00CD70F9" w:rsidP="007F15D0">
      <w:pPr>
        <w:pStyle w:val="Testonotaapidipagina"/>
        <w:jc w:val="both"/>
        <w:rPr>
          <w:rFonts w:ascii="Times New Roman" w:hAnsi="Times New Roman" w:cs="Times New Roman"/>
          <w:sz w:val="22"/>
          <w:szCs w:val="22"/>
        </w:rPr>
      </w:pPr>
      <w:r w:rsidRPr="007F15D0">
        <w:rPr>
          <w:rFonts w:ascii="Times New Roman" w:hAnsi="Times New Roman" w:cs="Times New Roman"/>
          <w:i/>
          <w:sz w:val="22"/>
          <w:szCs w:val="22"/>
        </w:rPr>
        <w:t>n) definizione, nel rispetto dei principi di ragionevolezza, economicità e leale collaborazione, di meccanismi e termini per la valutazione tecnica e per la necessaria composizione degli interessi pubblici nei casi in cui la legge preveda la partecipazione al procedimento delle amministrazioni preposte alla tutela dell'ambiente, del paesaggio, del patrimonio storico-artistico, della salute o della pubblica incolumità, in modo da pervenire in ogni caso alla conclusione del procedimento entro i termini previsti; previsione per le amministrazioni citate della possibilità di attivare procedure di riesame”</w:t>
      </w:r>
      <w:r w:rsidR="007F15D0">
        <w:rPr>
          <w:rFonts w:ascii="Times New Roman" w:hAnsi="Times New Roman" w:cs="Times New Roman"/>
          <w:sz w:val="22"/>
          <w:szCs w:val="22"/>
        </w:rPr>
        <w:t>.</w:t>
      </w:r>
    </w:p>
    <w:p w:rsidR="00CD70F9" w:rsidRPr="007F15D0" w:rsidRDefault="00CD70F9" w:rsidP="007F15D0">
      <w:pPr>
        <w:pStyle w:val="Testonotaapidipagina"/>
        <w:jc w:val="both"/>
        <w:rPr>
          <w:rFonts w:ascii="Times New Roman" w:hAnsi="Times New Roman" w:cs="Times New Roman"/>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36498"/>
    <w:multiLevelType w:val="hybridMultilevel"/>
    <w:tmpl w:val="8E9C79A8"/>
    <w:lvl w:ilvl="0" w:tplc="C9F65BC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DE01BDA"/>
    <w:multiLevelType w:val="hybridMultilevel"/>
    <w:tmpl w:val="EF481F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C7"/>
    <w:rsid w:val="00054EF5"/>
    <w:rsid w:val="00083CCE"/>
    <w:rsid w:val="00096D1D"/>
    <w:rsid w:val="000E5655"/>
    <w:rsid w:val="00103BAF"/>
    <w:rsid w:val="00105392"/>
    <w:rsid w:val="0014361E"/>
    <w:rsid w:val="00182780"/>
    <w:rsid w:val="001C7820"/>
    <w:rsid w:val="001D19C9"/>
    <w:rsid w:val="00207202"/>
    <w:rsid w:val="00246EA3"/>
    <w:rsid w:val="0025397D"/>
    <w:rsid w:val="00255A84"/>
    <w:rsid w:val="002560C3"/>
    <w:rsid w:val="002666AB"/>
    <w:rsid w:val="00270BFC"/>
    <w:rsid w:val="00293FFE"/>
    <w:rsid w:val="00326E72"/>
    <w:rsid w:val="0034128E"/>
    <w:rsid w:val="00344C27"/>
    <w:rsid w:val="003563C8"/>
    <w:rsid w:val="00365BE1"/>
    <w:rsid w:val="00387A7D"/>
    <w:rsid w:val="00391BF1"/>
    <w:rsid w:val="003D4261"/>
    <w:rsid w:val="003E3469"/>
    <w:rsid w:val="004012D4"/>
    <w:rsid w:val="00466D39"/>
    <w:rsid w:val="00502287"/>
    <w:rsid w:val="00552EE1"/>
    <w:rsid w:val="00555FEE"/>
    <w:rsid w:val="00556307"/>
    <w:rsid w:val="0056696B"/>
    <w:rsid w:val="00585B42"/>
    <w:rsid w:val="0059162F"/>
    <w:rsid w:val="0059635E"/>
    <w:rsid w:val="005C5374"/>
    <w:rsid w:val="005E7633"/>
    <w:rsid w:val="005F272D"/>
    <w:rsid w:val="006520C7"/>
    <w:rsid w:val="006A3C5D"/>
    <w:rsid w:val="006B1C43"/>
    <w:rsid w:val="00707BA8"/>
    <w:rsid w:val="007127F8"/>
    <w:rsid w:val="007169E7"/>
    <w:rsid w:val="0077021D"/>
    <w:rsid w:val="00785067"/>
    <w:rsid w:val="007A4A05"/>
    <w:rsid w:val="007C3796"/>
    <w:rsid w:val="007F09F6"/>
    <w:rsid w:val="007F15D0"/>
    <w:rsid w:val="00837565"/>
    <w:rsid w:val="008A54ED"/>
    <w:rsid w:val="008B222D"/>
    <w:rsid w:val="008B53D9"/>
    <w:rsid w:val="008C1D36"/>
    <w:rsid w:val="008D57B1"/>
    <w:rsid w:val="009200BF"/>
    <w:rsid w:val="00957488"/>
    <w:rsid w:val="00966356"/>
    <w:rsid w:val="00987222"/>
    <w:rsid w:val="009A2977"/>
    <w:rsid w:val="009A6EC1"/>
    <w:rsid w:val="009B4C85"/>
    <w:rsid w:val="009D16FA"/>
    <w:rsid w:val="009D6F63"/>
    <w:rsid w:val="00A379F6"/>
    <w:rsid w:val="00A438B1"/>
    <w:rsid w:val="00A5348B"/>
    <w:rsid w:val="00A855A6"/>
    <w:rsid w:val="00A91991"/>
    <w:rsid w:val="00AA1F07"/>
    <w:rsid w:val="00B50F24"/>
    <w:rsid w:val="00B534CE"/>
    <w:rsid w:val="00B82B04"/>
    <w:rsid w:val="00B87AC7"/>
    <w:rsid w:val="00B91040"/>
    <w:rsid w:val="00BF18FA"/>
    <w:rsid w:val="00C44F00"/>
    <w:rsid w:val="00C83091"/>
    <w:rsid w:val="00CC7F30"/>
    <w:rsid w:val="00CD70F9"/>
    <w:rsid w:val="00CE4A73"/>
    <w:rsid w:val="00CE7707"/>
    <w:rsid w:val="00CE7BB3"/>
    <w:rsid w:val="00D06888"/>
    <w:rsid w:val="00D11DDD"/>
    <w:rsid w:val="00D30F8A"/>
    <w:rsid w:val="00D54F58"/>
    <w:rsid w:val="00D65ADD"/>
    <w:rsid w:val="00DA1586"/>
    <w:rsid w:val="00DF27C6"/>
    <w:rsid w:val="00DF5756"/>
    <w:rsid w:val="00E65806"/>
    <w:rsid w:val="00E70A57"/>
    <w:rsid w:val="00F15780"/>
    <w:rsid w:val="00F23922"/>
    <w:rsid w:val="00F47E95"/>
    <w:rsid w:val="00FC306A"/>
    <w:rsid w:val="00FE43C2"/>
    <w:rsid w:val="00FF2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B53D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B53D9"/>
    <w:rPr>
      <w:sz w:val="20"/>
      <w:szCs w:val="20"/>
    </w:rPr>
  </w:style>
  <w:style w:type="character" w:styleId="Rimandonotaapidipagina">
    <w:name w:val="footnote reference"/>
    <w:basedOn w:val="Carpredefinitoparagrafo"/>
    <w:uiPriority w:val="99"/>
    <w:semiHidden/>
    <w:unhideWhenUsed/>
    <w:rsid w:val="008B53D9"/>
    <w:rPr>
      <w:vertAlign w:val="superscript"/>
    </w:rPr>
  </w:style>
  <w:style w:type="paragraph" w:styleId="Intestazione">
    <w:name w:val="header"/>
    <w:basedOn w:val="Normale"/>
    <w:link w:val="IntestazioneCarattere"/>
    <w:uiPriority w:val="99"/>
    <w:unhideWhenUsed/>
    <w:rsid w:val="003563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63C8"/>
  </w:style>
  <w:style w:type="paragraph" w:styleId="Pidipagina">
    <w:name w:val="footer"/>
    <w:basedOn w:val="Normale"/>
    <w:link w:val="PidipaginaCarattere"/>
    <w:uiPriority w:val="99"/>
    <w:unhideWhenUsed/>
    <w:rsid w:val="003563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63C8"/>
  </w:style>
  <w:style w:type="paragraph" w:styleId="Paragrafoelenco">
    <w:name w:val="List Paragraph"/>
    <w:basedOn w:val="Normale"/>
    <w:uiPriority w:val="34"/>
    <w:qFormat/>
    <w:rsid w:val="00266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B53D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B53D9"/>
    <w:rPr>
      <w:sz w:val="20"/>
      <w:szCs w:val="20"/>
    </w:rPr>
  </w:style>
  <w:style w:type="character" w:styleId="Rimandonotaapidipagina">
    <w:name w:val="footnote reference"/>
    <w:basedOn w:val="Carpredefinitoparagrafo"/>
    <w:uiPriority w:val="99"/>
    <w:semiHidden/>
    <w:unhideWhenUsed/>
    <w:rsid w:val="008B53D9"/>
    <w:rPr>
      <w:vertAlign w:val="superscript"/>
    </w:rPr>
  </w:style>
  <w:style w:type="paragraph" w:styleId="Intestazione">
    <w:name w:val="header"/>
    <w:basedOn w:val="Normale"/>
    <w:link w:val="IntestazioneCarattere"/>
    <w:uiPriority w:val="99"/>
    <w:unhideWhenUsed/>
    <w:rsid w:val="003563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63C8"/>
  </w:style>
  <w:style w:type="paragraph" w:styleId="Pidipagina">
    <w:name w:val="footer"/>
    <w:basedOn w:val="Normale"/>
    <w:link w:val="PidipaginaCarattere"/>
    <w:uiPriority w:val="99"/>
    <w:unhideWhenUsed/>
    <w:rsid w:val="003563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63C8"/>
  </w:style>
  <w:style w:type="paragraph" w:styleId="Paragrafoelenco">
    <w:name w:val="List Paragraph"/>
    <w:basedOn w:val="Normale"/>
    <w:uiPriority w:val="34"/>
    <w:qFormat/>
    <w:rsid w:val="00266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1399">
      <w:bodyDiv w:val="1"/>
      <w:marLeft w:val="0"/>
      <w:marRight w:val="0"/>
      <w:marTop w:val="0"/>
      <w:marBottom w:val="0"/>
      <w:divBdr>
        <w:top w:val="none" w:sz="0" w:space="0" w:color="auto"/>
        <w:left w:val="none" w:sz="0" w:space="0" w:color="auto"/>
        <w:bottom w:val="none" w:sz="0" w:space="0" w:color="auto"/>
        <w:right w:val="none" w:sz="0" w:space="0" w:color="auto"/>
      </w:divBdr>
      <w:divsChild>
        <w:div w:id="1055201921">
          <w:marLeft w:val="0"/>
          <w:marRight w:val="0"/>
          <w:marTop w:val="0"/>
          <w:marBottom w:val="0"/>
          <w:divBdr>
            <w:top w:val="none" w:sz="0" w:space="0" w:color="auto"/>
            <w:left w:val="none" w:sz="0" w:space="0" w:color="auto"/>
            <w:bottom w:val="none" w:sz="0" w:space="0" w:color="auto"/>
            <w:right w:val="none" w:sz="0" w:space="0" w:color="auto"/>
          </w:divBdr>
        </w:div>
        <w:div w:id="1520773078">
          <w:marLeft w:val="0"/>
          <w:marRight w:val="0"/>
          <w:marTop w:val="0"/>
          <w:marBottom w:val="0"/>
          <w:divBdr>
            <w:top w:val="none" w:sz="0" w:space="0" w:color="auto"/>
            <w:left w:val="none" w:sz="0" w:space="0" w:color="auto"/>
            <w:bottom w:val="none" w:sz="0" w:space="0" w:color="auto"/>
            <w:right w:val="none" w:sz="0" w:space="0" w:color="auto"/>
          </w:divBdr>
        </w:div>
        <w:div w:id="1207445841">
          <w:marLeft w:val="0"/>
          <w:marRight w:val="0"/>
          <w:marTop w:val="0"/>
          <w:marBottom w:val="0"/>
          <w:divBdr>
            <w:top w:val="none" w:sz="0" w:space="0" w:color="auto"/>
            <w:left w:val="none" w:sz="0" w:space="0" w:color="auto"/>
            <w:bottom w:val="none" w:sz="0" w:space="0" w:color="auto"/>
            <w:right w:val="none" w:sz="0" w:space="0" w:color="auto"/>
          </w:divBdr>
        </w:div>
        <w:div w:id="345786389">
          <w:marLeft w:val="0"/>
          <w:marRight w:val="0"/>
          <w:marTop w:val="0"/>
          <w:marBottom w:val="0"/>
          <w:divBdr>
            <w:top w:val="none" w:sz="0" w:space="0" w:color="auto"/>
            <w:left w:val="none" w:sz="0" w:space="0" w:color="auto"/>
            <w:bottom w:val="none" w:sz="0" w:space="0" w:color="auto"/>
            <w:right w:val="none" w:sz="0" w:space="0" w:color="auto"/>
          </w:divBdr>
        </w:div>
        <w:div w:id="1917012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61853-0DC6-47CC-92BD-CD803448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2249</Words>
  <Characters>12824</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Annarita</dc:creator>
  <cp:lastModifiedBy>USER</cp:lastModifiedBy>
  <cp:revision>2</cp:revision>
  <dcterms:created xsi:type="dcterms:W3CDTF">2016-05-18T19:39:00Z</dcterms:created>
  <dcterms:modified xsi:type="dcterms:W3CDTF">2016-05-18T19:39:00Z</dcterms:modified>
</cp:coreProperties>
</file>