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66" w:rsidRPr="0054595C" w:rsidRDefault="00221166" w:rsidP="00632CAB">
      <w:pPr>
        <w:spacing w:after="0" w:line="240" w:lineRule="auto"/>
        <w:ind w:left="567" w:right="567"/>
        <w:jc w:val="center"/>
        <w:rPr>
          <w:rFonts w:ascii="Times New Roman" w:hAnsi="Times New Roman"/>
          <w:sz w:val="16"/>
          <w:szCs w:val="24"/>
        </w:rPr>
      </w:pPr>
      <w:bookmarkStart w:id="0" w:name="_GoBack"/>
      <w:bookmarkEnd w:id="0"/>
      <w:r w:rsidRPr="0054595C">
        <w:rPr>
          <w:rFonts w:ascii="Times New Roman" w:hAnsi="Times New Roman"/>
          <w:sz w:val="20"/>
          <w:szCs w:val="24"/>
        </w:rPr>
        <w:t>A</w:t>
      </w:r>
      <w:r w:rsidRPr="0054595C">
        <w:rPr>
          <w:rFonts w:ascii="Times New Roman" w:hAnsi="Times New Roman"/>
          <w:sz w:val="18"/>
          <w:szCs w:val="24"/>
        </w:rPr>
        <w:t>L</w:t>
      </w:r>
      <w:r w:rsidRPr="0054595C">
        <w:rPr>
          <w:rFonts w:ascii="Times New Roman" w:hAnsi="Times New Roman"/>
          <w:sz w:val="16"/>
          <w:szCs w:val="20"/>
        </w:rPr>
        <w:t>ESSANDRO</w:t>
      </w:r>
      <w:r w:rsidRPr="0054595C">
        <w:rPr>
          <w:rFonts w:ascii="Times New Roman" w:hAnsi="Times New Roman"/>
          <w:sz w:val="18"/>
          <w:szCs w:val="24"/>
        </w:rPr>
        <w:t xml:space="preserve"> </w:t>
      </w:r>
      <w:r w:rsidRPr="0054595C">
        <w:rPr>
          <w:rFonts w:ascii="Times New Roman" w:hAnsi="Times New Roman"/>
          <w:sz w:val="20"/>
          <w:szCs w:val="24"/>
        </w:rPr>
        <w:t>C</w:t>
      </w:r>
      <w:r w:rsidRPr="0054595C">
        <w:rPr>
          <w:rFonts w:ascii="Times New Roman" w:hAnsi="Times New Roman"/>
          <w:sz w:val="14"/>
          <w:szCs w:val="24"/>
        </w:rPr>
        <w:t>IOFFI</w:t>
      </w:r>
    </w:p>
    <w:p w:rsidR="0054595C" w:rsidRDefault="0054595C" w:rsidP="00632CAB">
      <w:pPr>
        <w:spacing w:after="0" w:line="240" w:lineRule="auto"/>
        <w:ind w:left="567" w:right="567"/>
        <w:jc w:val="center"/>
        <w:rPr>
          <w:rFonts w:ascii="Times New Roman" w:hAnsi="Times New Roman"/>
          <w:i/>
          <w:sz w:val="24"/>
          <w:szCs w:val="24"/>
        </w:rPr>
      </w:pPr>
    </w:p>
    <w:p w:rsidR="00221166" w:rsidRPr="0078312B" w:rsidRDefault="00221166" w:rsidP="00632CAB">
      <w:pPr>
        <w:spacing w:after="0" w:line="240" w:lineRule="auto"/>
        <w:ind w:left="567" w:right="567"/>
        <w:jc w:val="center"/>
        <w:rPr>
          <w:rFonts w:ascii="Times New Roman" w:hAnsi="Times New Roman"/>
          <w:i/>
          <w:sz w:val="24"/>
          <w:szCs w:val="24"/>
        </w:rPr>
      </w:pPr>
      <w:r w:rsidRPr="00057E2F">
        <w:rPr>
          <w:rFonts w:ascii="Times New Roman" w:hAnsi="Times New Roman"/>
          <w:i/>
          <w:sz w:val="24"/>
          <w:szCs w:val="24"/>
        </w:rPr>
        <w:t>Annullamento d’ufficio e libertà economiche</w:t>
      </w:r>
    </w:p>
    <w:p w:rsidR="00632CAB" w:rsidRPr="0078312B" w:rsidRDefault="00632CAB" w:rsidP="00632CAB">
      <w:pPr>
        <w:spacing w:after="0" w:line="240" w:lineRule="auto"/>
        <w:ind w:left="567" w:right="567"/>
        <w:jc w:val="both"/>
        <w:rPr>
          <w:rFonts w:ascii="Times New Roman" w:hAnsi="Times New Roman"/>
          <w:i/>
          <w:sz w:val="24"/>
          <w:szCs w:val="24"/>
        </w:rPr>
      </w:pPr>
    </w:p>
    <w:p w:rsidR="0078312B" w:rsidRDefault="0078312B" w:rsidP="0078312B">
      <w:pPr>
        <w:pStyle w:val="Paragrafoelenco"/>
        <w:spacing w:after="0" w:line="240" w:lineRule="auto"/>
        <w:ind w:left="987" w:right="567"/>
        <w:jc w:val="both"/>
        <w:rPr>
          <w:rFonts w:ascii="Times New Roman" w:hAnsi="Times New Roman"/>
          <w:i/>
          <w:sz w:val="24"/>
          <w:szCs w:val="24"/>
        </w:rPr>
      </w:pPr>
    </w:p>
    <w:p w:rsidR="0078312B" w:rsidRPr="0078312B" w:rsidRDefault="0078312B" w:rsidP="0078312B">
      <w:pPr>
        <w:pStyle w:val="Paragrafoelenco"/>
        <w:spacing w:after="0" w:line="240" w:lineRule="auto"/>
        <w:ind w:left="987" w:right="567"/>
        <w:jc w:val="both"/>
        <w:rPr>
          <w:rFonts w:ascii="Times New Roman" w:hAnsi="Times New Roman"/>
          <w:sz w:val="24"/>
          <w:szCs w:val="24"/>
        </w:rPr>
      </w:pPr>
      <w:r>
        <w:rPr>
          <w:rFonts w:ascii="Times New Roman" w:hAnsi="Times New Roman"/>
          <w:i/>
          <w:sz w:val="24"/>
          <w:szCs w:val="24"/>
        </w:rPr>
        <w:t>1.- Libertà e interess</w:t>
      </w:r>
      <w:r w:rsidR="0055392D">
        <w:rPr>
          <w:rFonts w:ascii="Times New Roman" w:hAnsi="Times New Roman"/>
          <w:i/>
          <w:sz w:val="24"/>
          <w:szCs w:val="24"/>
        </w:rPr>
        <w:t>i</w:t>
      </w:r>
      <w:r>
        <w:rPr>
          <w:rFonts w:ascii="Times New Roman" w:hAnsi="Times New Roman"/>
          <w:i/>
          <w:sz w:val="24"/>
          <w:szCs w:val="24"/>
        </w:rPr>
        <w:t xml:space="preserve">. </w:t>
      </w:r>
    </w:p>
    <w:p w:rsidR="00221166" w:rsidRPr="00057E2F" w:rsidRDefault="0078312B" w:rsidP="00632CAB">
      <w:pPr>
        <w:spacing w:after="0" w:line="240" w:lineRule="auto"/>
        <w:ind w:left="567" w:right="567"/>
        <w:jc w:val="both"/>
        <w:rPr>
          <w:rFonts w:ascii="Times New Roman" w:hAnsi="Times New Roman"/>
          <w:sz w:val="24"/>
          <w:szCs w:val="24"/>
        </w:rPr>
      </w:pPr>
      <w:r>
        <w:rPr>
          <w:rFonts w:ascii="Times New Roman" w:hAnsi="Times New Roman"/>
          <w:sz w:val="24"/>
          <w:szCs w:val="24"/>
        </w:rPr>
        <w:t xml:space="preserve">  </w:t>
      </w:r>
      <w:r w:rsidR="00221166" w:rsidRPr="00057E2F">
        <w:rPr>
          <w:rFonts w:ascii="Times New Roman" w:hAnsi="Times New Roman"/>
          <w:sz w:val="24"/>
          <w:szCs w:val="24"/>
        </w:rPr>
        <w:t xml:space="preserve">Nei suoi termini classici l’annullamento d’ufficio presuppone un interesse pubblico. </w:t>
      </w:r>
      <w:r w:rsidR="00221166" w:rsidRPr="00057E2F">
        <w:rPr>
          <w:rFonts w:ascii="Times New Roman" w:hAnsi="Times New Roman"/>
          <w:i/>
          <w:sz w:val="24"/>
          <w:szCs w:val="24"/>
        </w:rPr>
        <w:t xml:space="preserve"> «Sussistendone le ragioni</w:t>
      </w:r>
      <w:r w:rsidR="00221166" w:rsidRPr="00057E2F">
        <w:rPr>
          <w:rFonts w:ascii="Times New Roman" w:hAnsi="Times New Roman"/>
          <w:i/>
        </w:rPr>
        <w:t>»</w:t>
      </w:r>
      <w:r w:rsidR="00221166" w:rsidRPr="00057E2F">
        <w:rPr>
          <w:rFonts w:ascii="Times New Roman" w:hAnsi="Times New Roman"/>
          <w:sz w:val="24"/>
          <w:szCs w:val="24"/>
        </w:rPr>
        <w:t xml:space="preserve"> dice ora la norma dell’art. 21 </w:t>
      </w:r>
      <w:r w:rsidR="00221166" w:rsidRPr="00057E2F">
        <w:rPr>
          <w:rFonts w:ascii="Times New Roman" w:hAnsi="Times New Roman"/>
          <w:i/>
          <w:sz w:val="24"/>
          <w:szCs w:val="24"/>
        </w:rPr>
        <w:t>nonies</w:t>
      </w:r>
      <w:r w:rsidR="00221166" w:rsidRPr="00057E2F">
        <w:rPr>
          <w:rFonts w:ascii="Times New Roman" w:hAnsi="Times New Roman"/>
          <w:sz w:val="24"/>
          <w:szCs w:val="24"/>
        </w:rPr>
        <w:t>, a suggellare un’antica tradizione della giurisprudenza. Intorno a</w:t>
      </w:r>
      <w:r w:rsidR="00221166">
        <w:rPr>
          <w:rFonts w:ascii="Times New Roman" w:hAnsi="Times New Roman"/>
          <w:sz w:val="24"/>
          <w:szCs w:val="24"/>
        </w:rPr>
        <w:t>gl</w:t>
      </w:r>
      <w:r w:rsidR="00221166" w:rsidRPr="00057E2F">
        <w:rPr>
          <w:rFonts w:ascii="Times New Roman" w:hAnsi="Times New Roman"/>
          <w:sz w:val="24"/>
          <w:szCs w:val="24"/>
        </w:rPr>
        <w:t>i</w:t>
      </w:r>
      <w:r w:rsidR="00221166">
        <w:rPr>
          <w:rFonts w:ascii="Times New Roman" w:hAnsi="Times New Roman"/>
          <w:sz w:val="24"/>
          <w:szCs w:val="24"/>
        </w:rPr>
        <w:t xml:space="preserve"> anni</w:t>
      </w:r>
      <w:r w:rsidR="00221166" w:rsidRPr="00057E2F">
        <w:rPr>
          <w:rFonts w:ascii="Times New Roman" w:hAnsi="Times New Roman"/>
          <w:sz w:val="24"/>
          <w:szCs w:val="24"/>
        </w:rPr>
        <w:t xml:space="preserve"> </w:t>
      </w:r>
      <w:r w:rsidR="00221166" w:rsidRPr="00057E2F">
        <w:rPr>
          <w:rFonts w:ascii="Times New Roman" w:hAnsi="Times New Roman"/>
          <w:i/>
        </w:rPr>
        <w:t>’50</w:t>
      </w:r>
      <w:r w:rsidR="00221166" w:rsidRPr="00057E2F">
        <w:rPr>
          <w:rFonts w:ascii="Times New Roman" w:hAnsi="Times New Roman"/>
          <w:sz w:val="24"/>
          <w:szCs w:val="24"/>
        </w:rPr>
        <w:t xml:space="preserve"> la giurisprudenza del Consiglio di Stato faceva un richiamo all’interesse pubblico e lo considerava come fosse qualcosa di di</w:t>
      </w:r>
      <w:r w:rsidR="0054595C">
        <w:rPr>
          <w:rFonts w:ascii="Times New Roman" w:hAnsi="Times New Roman"/>
          <w:sz w:val="24"/>
          <w:szCs w:val="24"/>
        </w:rPr>
        <w:t xml:space="preserve">verso </w:t>
      </w:r>
      <w:r w:rsidR="00221166" w:rsidRPr="00057E2F">
        <w:rPr>
          <w:rFonts w:ascii="Times New Roman" w:hAnsi="Times New Roman"/>
          <w:sz w:val="24"/>
          <w:szCs w:val="24"/>
        </w:rPr>
        <w:t>dal puro vizio di legittimità</w:t>
      </w:r>
      <w:r w:rsidR="0072299A">
        <w:rPr>
          <w:rFonts w:ascii="Times New Roman" w:hAnsi="Times New Roman"/>
          <w:sz w:val="24"/>
          <w:szCs w:val="24"/>
        </w:rPr>
        <w:t>. E</w:t>
      </w:r>
      <w:r w:rsidR="00332BDF">
        <w:rPr>
          <w:rFonts w:ascii="Times New Roman" w:hAnsi="Times New Roman"/>
          <w:sz w:val="24"/>
          <w:szCs w:val="24"/>
        </w:rPr>
        <w:t>r</w:t>
      </w:r>
      <w:r w:rsidR="00221166" w:rsidRPr="00057E2F">
        <w:rPr>
          <w:rFonts w:ascii="Times New Roman" w:hAnsi="Times New Roman"/>
          <w:sz w:val="24"/>
          <w:szCs w:val="24"/>
        </w:rPr>
        <w:t xml:space="preserve">a un </w:t>
      </w:r>
      <w:r w:rsidR="00CE5C98" w:rsidRPr="00057E2F">
        <w:rPr>
          <w:rFonts w:ascii="Times New Roman" w:hAnsi="Times New Roman"/>
          <w:sz w:val="24"/>
          <w:szCs w:val="24"/>
        </w:rPr>
        <w:t>«</w:t>
      </w:r>
      <w:r w:rsidR="00221166" w:rsidRPr="00057E2F">
        <w:rPr>
          <w:rFonts w:ascii="Times New Roman" w:hAnsi="Times New Roman"/>
          <w:sz w:val="24"/>
          <w:szCs w:val="24"/>
        </w:rPr>
        <w:t>intere</w:t>
      </w:r>
      <w:r w:rsidR="00221166">
        <w:rPr>
          <w:rFonts w:ascii="Times New Roman" w:hAnsi="Times New Roman"/>
          <w:sz w:val="24"/>
          <w:szCs w:val="24"/>
        </w:rPr>
        <w:t>s</w:t>
      </w:r>
      <w:r w:rsidR="00221166" w:rsidRPr="00057E2F">
        <w:rPr>
          <w:rFonts w:ascii="Times New Roman" w:hAnsi="Times New Roman"/>
          <w:sz w:val="24"/>
          <w:szCs w:val="24"/>
        </w:rPr>
        <w:t>se diverso</w:t>
      </w:r>
      <w:r w:rsidR="004B70E1">
        <w:rPr>
          <w:rFonts w:ascii="Times New Roman" w:hAnsi="Times New Roman"/>
          <w:sz w:val="24"/>
          <w:szCs w:val="24"/>
        </w:rPr>
        <w:t>, concreto e attuale</w:t>
      </w:r>
      <w:r w:rsidR="00CE5C98" w:rsidRPr="00057E2F">
        <w:rPr>
          <w:rFonts w:ascii="Times New Roman" w:hAnsi="Times New Roman"/>
        </w:rPr>
        <w:t>»</w:t>
      </w:r>
      <w:r w:rsidR="00332BDF" w:rsidRPr="00057E2F">
        <w:rPr>
          <w:rStyle w:val="Rimandonotaapidipagina"/>
          <w:rFonts w:ascii="Times New Roman" w:hAnsi="Times New Roman"/>
        </w:rPr>
        <w:footnoteReference w:id="1"/>
      </w:r>
      <w:r w:rsidR="00332BDF">
        <w:rPr>
          <w:rFonts w:ascii="Times New Roman" w:hAnsi="Times New Roman"/>
        </w:rPr>
        <w:t>.  E</w:t>
      </w:r>
      <w:r w:rsidR="00E90EDD">
        <w:rPr>
          <w:rFonts w:ascii="Times New Roman" w:hAnsi="Times New Roman"/>
          <w:sz w:val="24"/>
          <w:szCs w:val="24"/>
        </w:rPr>
        <w:t xml:space="preserve"> fu, in dottrina, </w:t>
      </w:r>
      <w:r w:rsidR="00221166" w:rsidRPr="00057E2F">
        <w:rPr>
          <w:rFonts w:ascii="Times New Roman" w:hAnsi="Times New Roman"/>
          <w:sz w:val="24"/>
          <w:szCs w:val="24"/>
        </w:rPr>
        <w:t xml:space="preserve">esigenza </w:t>
      </w:r>
      <w:r w:rsidR="00553C86">
        <w:rPr>
          <w:rFonts w:ascii="Times New Roman" w:hAnsi="Times New Roman"/>
          <w:sz w:val="24"/>
          <w:szCs w:val="24"/>
        </w:rPr>
        <w:t xml:space="preserve">e ragione </w:t>
      </w:r>
      <w:r w:rsidR="00221166" w:rsidRPr="00057E2F">
        <w:rPr>
          <w:rFonts w:ascii="Times New Roman" w:hAnsi="Times New Roman"/>
          <w:sz w:val="24"/>
          <w:szCs w:val="24"/>
        </w:rPr>
        <w:t>oggettiva</w:t>
      </w:r>
      <w:r w:rsidR="00553C86">
        <w:rPr>
          <w:rFonts w:ascii="Times New Roman" w:hAnsi="Times New Roman"/>
          <w:sz w:val="24"/>
          <w:szCs w:val="24"/>
        </w:rPr>
        <w:t>ta</w:t>
      </w:r>
      <w:r w:rsidR="00553C86" w:rsidRPr="00057E2F">
        <w:rPr>
          <w:rStyle w:val="Rimandonotaapidipagina"/>
          <w:rFonts w:ascii="Times New Roman" w:hAnsi="Times New Roman"/>
        </w:rPr>
        <w:footnoteReference w:id="2"/>
      </w:r>
      <w:r w:rsidR="00553C86">
        <w:rPr>
          <w:rFonts w:ascii="Times New Roman" w:hAnsi="Times New Roman"/>
          <w:sz w:val="24"/>
          <w:szCs w:val="24"/>
        </w:rPr>
        <w:t>. Fu</w:t>
      </w:r>
      <w:r w:rsidR="000737BE">
        <w:rPr>
          <w:rFonts w:ascii="Times New Roman" w:hAnsi="Times New Roman"/>
          <w:sz w:val="24"/>
          <w:szCs w:val="24"/>
        </w:rPr>
        <w:t>,</w:t>
      </w:r>
      <w:r w:rsidR="00553C86">
        <w:rPr>
          <w:rFonts w:ascii="Times New Roman" w:hAnsi="Times New Roman"/>
          <w:sz w:val="24"/>
          <w:szCs w:val="24"/>
        </w:rPr>
        <w:t xml:space="preserve"> soprattutto</w:t>
      </w:r>
      <w:r w:rsidR="000737BE">
        <w:rPr>
          <w:rFonts w:ascii="Times New Roman" w:hAnsi="Times New Roman"/>
          <w:sz w:val="24"/>
          <w:szCs w:val="24"/>
        </w:rPr>
        <w:t>,</w:t>
      </w:r>
      <w:r w:rsidR="00553C86">
        <w:rPr>
          <w:rFonts w:ascii="Times New Roman" w:hAnsi="Times New Roman"/>
          <w:sz w:val="24"/>
          <w:szCs w:val="24"/>
        </w:rPr>
        <w:t xml:space="preserve"> </w:t>
      </w:r>
      <w:r w:rsidR="00221166" w:rsidRPr="00057E2F">
        <w:rPr>
          <w:rFonts w:ascii="Times New Roman" w:hAnsi="Times New Roman"/>
          <w:sz w:val="24"/>
          <w:szCs w:val="24"/>
        </w:rPr>
        <w:t>un richiamo</w:t>
      </w:r>
      <w:r w:rsidR="00E90EDD">
        <w:rPr>
          <w:rFonts w:ascii="Times New Roman" w:hAnsi="Times New Roman"/>
          <w:sz w:val="24"/>
          <w:szCs w:val="24"/>
        </w:rPr>
        <w:t xml:space="preserve"> </w:t>
      </w:r>
      <w:r w:rsidR="00221166" w:rsidRPr="00057E2F">
        <w:rPr>
          <w:rFonts w:ascii="Times New Roman" w:hAnsi="Times New Roman"/>
          <w:sz w:val="24"/>
          <w:szCs w:val="24"/>
        </w:rPr>
        <w:t>all’ordine</w:t>
      </w:r>
      <w:r w:rsidR="009F40A5">
        <w:rPr>
          <w:rFonts w:ascii="Times New Roman" w:hAnsi="Times New Roman"/>
          <w:sz w:val="24"/>
          <w:szCs w:val="24"/>
        </w:rPr>
        <w:t xml:space="preserve">, </w:t>
      </w:r>
      <w:r w:rsidR="00553C86">
        <w:rPr>
          <w:rFonts w:ascii="Times New Roman" w:hAnsi="Times New Roman"/>
          <w:sz w:val="24"/>
          <w:szCs w:val="24"/>
        </w:rPr>
        <w:t>a spiegazione delle esigenze  prevalenti</w:t>
      </w:r>
      <w:r w:rsidR="00553C86">
        <w:rPr>
          <w:rFonts w:ascii="Times New Roman" w:hAnsi="Times New Roman"/>
        </w:rPr>
        <w:t xml:space="preserve"> </w:t>
      </w:r>
      <w:r w:rsidR="00553C86" w:rsidRPr="00553C86">
        <w:rPr>
          <w:rFonts w:ascii="Times New Roman" w:hAnsi="Times New Roman"/>
          <w:sz w:val="24"/>
          <w:szCs w:val="24"/>
        </w:rPr>
        <w:t>nell’azione amministrativa</w:t>
      </w:r>
      <w:r w:rsidR="000737BE">
        <w:rPr>
          <w:rFonts w:ascii="Times New Roman" w:hAnsi="Times New Roman"/>
          <w:sz w:val="24"/>
          <w:szCs w:val="24"/>
        </w:rPr>
        <w:t xml:space="preserve">, riconducibili ai </w:t>
      </w:r>
      <w:r w:rsidR="00C65164">
        <w:rPr>
          <w:rFonts w:ascii="Times New Roman" w:hAnsi="Times New Roman"/>
          <w:sz w:val="24"/>
          <w:szCs w:val="24"/>
        </w:rPr>
        <w:t xml:space="preserve">suoi </w:t>
      </w:r>
      <w:r w:rsidR="000737BE">
        <w:rPr>
          <w:rFonts w:ascii="Times New Roman" w:hAnsi="Times New Roman"/>
          <w:sz w:val="24"/>
          <w:szCs w:val="24"/>
        </w:rPr>
        <w:t>fini istituzionali</w:t>
      </w:r>
      <w:r w:rsidR="000737BE" w:rsidRPr="008A1B24">
        <w:rPr>
          <w:rStyle w:val="Rimandonotaapidipagina"/>
        </w:rPr>
        <w:footnoteReference w:id="3"/>
      </w:r>
      <w:r w:rsidR="00221166" w:rsidRPr="00057E2F">
        <w:rPr>
          <w:rFonts w:ascii="Times New Roman" w:hAnsi="Times New Roman"/>
          <w:sz w:val="24"/>
          <w:szCs w:val="24"/>
        </w:rPr>
        <w:t>.</w:t>
      </w:r>
    </w:p>
    <w:p w:rsidR="00221166" w:rsidRPr="00057E2F" w:rsidRDefault="00221166" w:rsidP="00632CAB">
      <w:pPr>
        <w:spacing w:after="0" w:line="240" w:lineRule="auto"/>
        <w:ind w:left="567" w:right="567"/>
        <w:jc w:val="both"/>
        <w:rPr>
          <w:rFonts w:ascii="Times New Roman" w:hAnsi="Times New Roman"/>
          <w:sz w:val="24"/>
          <w:szCs w:val="24"/>
        </w:rPr>
      </w:pPr>
      <w:r w:rsidRPr="00057E2F">
        <w:rPr>
          <w:rFonts w:ascii="Times New Roman" w:hAnsi="Times New Roman"/>
          <w:sz w:val="24"/>
          <w:szCs w:val="24"/>
        </w:rPr>
        <w:t>Oggi quel richiamo all’interesse pubblico si complica, quando l’attenzione sia riferita, come impone il titolo del convegno, ad attività economiche. Precisamente, quando si annulli un provvedimento da cui sorgano attività economiche. A legger sotto le «attività economiche</w:t>
      </w:r>
      <w:r w:rsidRPr="00057E2F">
        <w:rPr>
          <w:rFonts w:ascii="Times New Roman" w:hAnsi="Times New Roman"/>
        </w:rPr>
        <w:t>»</w:t>
      </w:r>
      <w:r w:rsidRPr="00057E2F">
        <w:rPr>
          <w:rFonts w:ascii="Times New Roman" w:hAnsi="Times New Roman"/>
          <w:sz w:val="24"/>
          <w:szCs w:val="24"/>
        </w:rPr>
        <w:t xml:space="preserve">, con gli occhi dell’ordinamento e delle riforme, e già nel testo stesso dell’art. 21 </w:t>
      </w:r>
      <w:r w:rsidRPr="00057E2F">
        <w:rPr>
          <w:rFonts w:ascii="Times New Roman" w:hAnsi="Times New Roman"/>
          <w:i/>
          <w:sz w:val="24"/>
          <w:szCs w:val="24"/>
        </w:rPr>
        <w:t>nonies</w:t>
      </w:r>
      <w:r w:rsidRPr="00057E2F">
        <w:rPr>
          <w:rFonts w:ascii="Times New Roman" w:hAnsi="Times New Roman"/>
          <w:sz w:val="24"/>
          <w:szCs w:val="24"/>
        </w:rPr>
        <w:t>, viene fuori tutta la libertà economica. Non è una libertà pregiuridica, ma un preciso diritto economico del soggetto; e</w:t>
      </w:r>
      <w:r w:rsidR="00142214">
        <w:rPr>
          <w:rFonts w:ascii="Times New Roman" w:hAnsi="Times New Roman"/>
          <w:sz w:val="24"/>
          <w:szCs w:val="24"/>
        </w:rPr>
        <w:t xml:space="preserve"> appare come </w:t>
      </w:r>
      <w:r w:rsidRPr="00057E2F">
        <w:rPr>
          <w:rFonts w:ascii="Times New Roman" w:hAnsi="Times New Roman"/>
          <w:sz w:val="24"/>
          <w:szCs w:val="24"/>
        </w:rPr>
        <w:t>un termine</w:t>
      </w:r>
      <w:r w:rsidR="00667C08">
        <w:rPr>
          <w:rFonts w:ascii="Times New Roman" w:hAnsi="Times New Roman"/>
          <w:sz w:val="24"/>
          <w:szCs w:val="24"/>
        </w:rPr>
        <w:t xml:space="preserve"> da considerare</w:t>
      </w:r>
      <w:r w:rsidR="000737BE">
        <w:rPr>
          <w:rFonts w:ascii="Times New Roman" w:hAnsi="Times New Roman"/>
          <w:sz w:val="24"/>
          <w:szCs w:val="24"/>
        </w:rPr>
        <w:t xml:space="preserve">, già </w:t>
      </w:r>
      <w:r w:rsidR="00142214">
        <w:rPr>
          <w:rFonts w:ascii="Times New Roman" w:hAnsi="Times New Roman"/>
          <w:sz w:val="24"/>
          <w:szCs w:val="24"/>
        </w:rPr>
        <w:t>n</w:t>
      </w:r>
      <w:r w:rsidRPr="00057E2F">
        <w:rPr>
          <w:rFonts w:ascii="Times New Roman" w:hAnsi="Times New Roman"/>
          <w:sz w:val="24"/>
          <w:szCs w:val="24"/>
        </w:rPr>
        <w:t>ell</w:t>
      </w:r>
      <w:r w:rsidR="0078640E">
        <w:rPr>
          <w:rFonts w:ascii="Times New Roman" w:hAnsi="Times New Roman"/>
          <w:sz w:val="24"/>
          <w:szCs w:val="24"/>
        </w:rPr>
        <w:t>’autotutela</w:t>
      </w:r>
      <w:r w:rsidR="00142214">
        <w:rPr>
          <w:rFonts w:ascii="Times New Roman" w:hAnsi="Times New Roman"/>
          <w:sz w:val="24"/>
          <w:szCs w:val="24"/>
        </w:rPr>
        <w:t xml:space="preserve"> </w:t>
      </w:r>
      <w:r w:rsidRPr="00057E2F">
        <w:rPr>
          <w:rFonts w:ascii="Times New Roman" w:hAnsi="Times New Roman"/>
          <w:sz w:val="24"/>
          <w:szCs w:val="24"/>
        </w:rPr>
        <w:t>e</w:t>
      </w:r>
      <w:r w:rsidR="000737BE">
        <w:rPr>
          <w:rFonts w:ascii="Times New Roman" w:hAnsi="Times New Roman"/>
          <w:sz w:val="24"/>
          <w:szCs w:val="24"/>
        </w:rPr>
        <w:t xml:space="preserve"> </w:t>
      </w:r>
      <w:r w:rsidRPr="00057E2F">
        <w:rPr>
          <w:rFonts w:ascii="Times New Roman" w:hAnsi="Times New Roman"/>
          <w:sz w:val="24"/>
          <w:szCs w:val="24"/>
        </w:rPr>
        <w:t>nell</w:t>
      </w:r>
      <w:r w:rsidR="00142214">
        <w:rPr>
          <w:rFonts w:ascii="Times New Roman" w:hAnsi="Times New Roman"/>
          <w:sz w:val="24"/>
          <w:szCs w:val="24"/>
        </w:rPr>
        <w:t>a</w:t>
      </w:r>
      <w:r w:rsidRPr="00057E2F">
        <w:rPr>
          <w:rFonts w:ascii="Times New Roman" w:hAnsi="Times New Roman"/>
          <w:sz w:val="24"/>
          <w:szCs w:val="24"/>
        </w:rPr>
        <w:t xml:space="preserve"> giurisdizione amministrativa di</w:t>
      </w:r>
      <w:r w:rsidR="000737BE">
        <w:rPr>
          <w:rFonts w:ascii="Times New Roman" w:hAnsi="Times New Roman"/>
          <w:sz w:val="24"/>
          <w:szCs w:val="24"/>
        </w:rPr>
        <w:t xml:space="preserve"> sola</w:t>
      </w:r>
      <w:r w:rsidRPr="00057E2F">
        <w:rPr>
          <w:rFonts w:ascii="Times New Roman" w:hAnsi="Times New Roman"/>
          <w:sz w:val="24"/>
          <w:szCs w:val="24"/>
        </w:rPr>
        <w:t xml:space="preserve"> legittimità. </w:t>
      </w:r>
    </w:p>
    <w:p w:rsidR="00221166" w:rsidRPr="00057E2F" w:rsidRDefault="00221166" w:rsidP="00632CAB">
      <w:pPr>
        <w:spacing w:after="0" w:line="240" w:lineRule="auto"/>
        <w:ind w:left="567" w:right="567"/>
        <w:jc w:val="both"/>
        <w:rPr>
          <w:rFonts w:ascii="Times New Roman" w:hAnsi="Times New Roman"/>
          <w:sz w:val="24"/>
          <w:szCs w:val="24"/>
        </w:rPr>
      </w:pPr>
      <w:r w:rsidRPr="00057E2F">
        <w:rPr>
          <w:rFonts w:ascii="Times New Roman" w:hAnsi="Times New Roman"/>
          <w:sz w:val="24"/>
          <w:szCs w:val="24"/>
        </w:rPr>
        <w:t>Così l’assetto cambia e appare in modo diverso l’annullamento d’ufficio: era massima tutela dell’interesse pubblico ed ora è tutela eccezionale, condizionata alla garanzia delle attività economiche</w:t>
      </w:r>
      <w:r w:rsidRPr="00057E2F">
        <w:rPr>
          <w:rStyle w:val="Rimandonotaapidipagina"/>
          <w:rFonts w:ascii="Times New Roman" w:hAnsi="Times New Roman"/>
        </w:rPr>
        <w:footnoteReference w:id="4"/>
      </w:r>
      <w:r w:rsidRPr="00057E2F">
        <w:rPr>
          <w:rFonts w:ascii="Times New Roman" w:hAnsi="Times New Roman"/>
          <w:sz w:val="24"/>
          <w:szCs w:val="24"/>
        </w:rPr>
        <w:t>. Ed ecco che va in crisi l’opera sull’interesse pubblico che la giurisprudenza aveva fatto</w:t>
      </w:r>
      <w:r w:rsidR="0054595C">
        <w:rPr>
          <w:rFonts w:ascii="Times New Roman" w:hAnsi="Times New Roman"/>
          <w:sz w:val="24"/>
          <w:szCs w:val="24"/>
        </w:rPr>
        <w:t>: l</w:t>
      </w:r>
      <w:r w:rsidR="0054595C" w:rsidRPr="00057E2F">
        <w:rPr>
          <w:rFonts w:ascii="Times New Roman" w:hAnsi="Times New Roman"/>
          <w:sz w:val="24"/>
          <w:szCs w:val="24"/>
        </w:rPr>
        <w:t>’oggettivazione</w:t>
      </w:r>
      <w:r w:rsidR="0054595C">
        <w:rPr>
          <w:rFonts w:ascii="Times New Roman" w:hAnsi="Times New Roman"/>
          <w:sz w:val="24"/>
          <w:szCs w:val="24"/>
        </w:rPr>
        <w:t xml:space="preserve"> dell’interesse e</w:t>
      </w:r>
      <w:r w:rsidR="0054595C" w:rsidRPr="00057E2F">
        <w:rPr>
          <w:rFonts w:ascii="Times New Roman" w:hAnsi="Times New Roman"/>
          <w:sz w:val="24"/>
          <w:szCs w:val="24"/>
        </w:rPr>
        <w:t xml:space="preserve"> la riduzione a </w:t>
      </w:r>
      <w:r w:rsidR="00712489">
        <w:rPr>
          <w:rFonts w:ascii="Times New Roman" w:hAnsi="Times New Roman"/>
          <w:sz w:val="24"/>
          <w:szCs w:val="24"/>
        </w:rPr>
        <w:t xml:space="preserve">fatto </w:t>
      </w:r>
      <w:r w:rsidR="0054595C" w:rsidRPr="00057E2F">
        <w:rPr>
          <w:rFonts w:ascii="Times New Roman" w:hAnsi="Times New Roman"/>
          <w:sz w:val="24"/>
          <w:szCs w:val="24"/>
        </w:rPr>
        <w:t xml:space="preserve">visibile </w:t>
      </w:r>
      <w:r w:rsidR="0054595C" w:rsidRPr="00057E2F">
        <w:rPr>
          <w:rFonts w:ascii="Times New Roman" w:hAnsi="Times New Roman"/>
          <w:sz w:val="24"/>
          <w:szCs w:val="24"/>
        </w:rPr>
        <w:lastRenderedPageBreak/>
        <w:t>e concreto</w:t>
      </w:r>
      <w:r w:rsidR="0054595C">
        <w:rPr>
          <w:rFonts w:ascii="Times New Roman" w:hAnsi="Times New Roman"/>
          <w:sz w:val="24"/>
          <w:szCs w:val="24"/>
        </w:rPr>
        <w:t xml:space="preserve">, </w:t>
      </w:r>
      <w:r w:rsidR="00C65164">
        <w:rPr>
          <w:rFonts w:ascii="Times New Roman" w:hAnsi="Times New Roman"/>
          <w:sz w:val="24"/>
          <w:szCs w:val="24"/>
        </w:rPr>
        <w:t xml:space="preserve">calata dentro </w:t>
      </w:r>
      <w:r w:rsidRPr="00057E2F">
        <w:rPr>
          <w:rFonts w:ascii="Times New Roman" w:hAnsi="Times New Roman"/>
          <w:sz w:val="24"/>
          <w:szCs w:val="24"/>
        </w:rPr>
        <w:t>la motivazione</w:t>
      </w:r>
      <w:r w:rsidR="0078640E">
        <w:rPr>
          <w:rFonts w:ascii="Times New Roman" w:hAnsi="Times New Roman"/>
          <w:sz w:val="24"/>
          <w:szCs w:val="24"/>
        </w:rPr>
        <w:t xml:space="preserve"> dell’annullamento d’ufficio</w:t>
      </w:r>
      <w:r w:rsidR="00770A8A" w:rsidRPr="00057E2F">
        <w:rPr>
          <w:rStyle w:val="Rimandonotaapidipagina"/>
          <w:rFonts w:ascii="Times New Roman" w:hAnsi="Times New Roman"/>
        </w:rPr>
        <w:footnoteReference w:id="5"/>
      </w:r>
      <w:r w:rsidR="0054595C">
        <w:rPr>
          <w:rFonts w:ascii="Times New Roman" w:hAnsi="Times New Roman"/>
          <w:sz w:val="24"/>
          <w:szCs w:val="24"/>
        </w:rPr>
        <w:t>.</w:t>
      </w:r>
      <w:r w:rsidRPr="00057E2F">
        <w:rPr>
          <w:rFonts w:ascii="Times New Roman" w:hAnsi="Times New Roman"/>
          <w:sz w:val="24"/>
          <w:szCs w:val="24"/>
        </w:rPr>
        <w:t xml:space="preserve"> </w:t>
      </w:r>
      <w:r w:rsidR="00241604">
        <w:rPr>
          <w:rFonts w:ascii="Times New Roman" w:hAnsi="Times New Roman"/>
          <w:sz w:val="24"/>
          <w:szCs w:val="24"/>
        </w:rPr>
        <w:t>Al riguardo s</w:t>
      </w:r>
      <w:r w:rsidRPr="00057E2F">
        <w:rPr>
          <w:rFonts w:ascii="Times New Roman" w:hAnsi="Times New Roman"/>
          <w:sz w:val="24"/>
          <w:szCs w:val="24"/>
        </w:rPr>
        <w:t>i ricordano in sintesi alcune cose note</w:t>
      </w:r>
      <w:r w:rsidRPr="00057E2F">
        <w:rPr>
          <w:rFonts w:ascii="Times New Roman" w:hAnsi="Times New Roman"/>
        </w:rPr>
        <w:t>.</w:t>
      </w:r>
      <w:r w:rsidR="00C65164">
        <w:rPr>
          <w:rFonts w:ascii="Times New Roman" w:hAnsi="Times New Roman"/>
        </w:rPr>
        <w:t xml:space="preserve"> </w:t>
      </w:r>
      <w:r w:rsidRPr="00057E2F">
        <w:rPr>
          <w:rFonts w:ascii="Times New Roman" w:hAnsi="Times New Roman"/>
          <w:sz w:val="24"/>
          <w:szCs w:val="24"/>
        </w:rPr>
        <w:t xml:space="preserve"> </w:t>
      </w:r>
      <w:r w:rsidR="00C65164">
        <w:rPr>
          <w:rFonts w:ascii="Times New Roman" w:hAnsi="Times New Roman"/>
          <w:sz w:val="24"/>
          <w:szCs w:val="24"/>
        </w:rPr>
        <w:t>Nell</w:t>
      </w:r>
      <w:r w:rsidRPr="00057E2F">
        <w:rPr>
          <w:rFonts w:ascii="Times New Roman" w:hAnsi="Times New Roman"/>
          <w:sz w:val="24"/>
          <w:szCs w:val="24"/>
        </w:rPr>
        <w:t>a motivazione dell’annullamento d’ufficio l’interesse pubblico appare come esigenza oggettiva, come ragione oggettivata, a ridurre il motivo soggettivo, secondo un noto insegnamento, che</w:t>
      </w:r>
      <w:r w:rsidR="009F40A5">
        <w:rPr>
          <w:rFonts w:ascii="Times New Roman" w:hAnsi="Times New Roman"/>
          <w:sz w:val="24"/>
          <w:szCs w:val="24"/>
        </w:rPr>
        <w:t>,</w:t>
      </w:r>
      <w:r w:rsidRPr="00057E2F">
        <w:rPr>
          <w:rFonts w:ascii="Times New Roman" w:hAnsi="Times New Roman"/>
          <w:sz w:val="24"/>
          <w:szCs w:val="24"/>
        </w:rPr>
        <w:t xml:space="preserve"> attraversando tutta la motivazione</w:t>
      </w:r>
      <w:r w:rsidR="009F40A5">
        <w:rPr>
          <w:rFonts w:ascii="Times New Roman" w:hAnsi="Times New Roman"/>
          <w:sz w:val="24"/>
          <w:szCs w:val="24"/>
        </w:rPr>
        <w:t>,</w:t>
      </w:r>
      <w:r w:rsidRPr="00057E2F">
        <w:rPr>
          <w:rFonts w:ascii="Times New Roman" w:hAnsi="Times New Roman"/>
          <w:sz w:val="24"/>
          <w:szCs w:val="24"/>
        </w:rPr>
        <w:t xml:space="preserve"> riporta la decisione al preciso linguaggio della ragione</w:t>
      </w:r>
      <w:r w:rsidRPr="00057E2F">
        <w:rPr>
          <w:rStyle w:val="Rimandonotaapidipagina"/>
          <w:rFonts w:ascii="Times New Roman" w:hAnsi="Times New Roman"/>
        </w:rPr>
        <w:footnoteReference w:id="6"/>
      </w:r>
      <w:r w:rsidRPr="00057E2F">
        <w:rPr>
          <w:rFonts w:ascii="Times New Roman" w:hAnsi="Times New Roman"/>
          <w:sz w:val="24"/>
          <w:szCs w:val="24"/>
        </w:rPr>
        <w:t>. Qui l’interesse pubblico che giustifica l’annullamento d’ufficio assume il valore di un’esigenza superiore e oggettiva. Per esempio: è l’interesse pubblico finanziario a salvaguardare le risorse dell’ente, è l’interesse al buon andamento degli uffici e del personale (con una forte proiezione futura sull’organizzazione); è l’interesse alla qualità e al buon nome dell’istituzione; è l’interesse sopravvenuto</w:t>
      </w:r>
      <w:r w:rsidR="009F40A5">
        <w:rPr>
          <w:rFonts w:ascii="Times New Roman" w:hAnsi="Times New Roman"/>
          <w:sz w:val="24"/>
          <w:szCs w:val="24"/>
        </w:rPr>
        <w:t xml:space="preserve"> e</w:t>
      </w:r>
      <w:r w:rsidRPr="00057E2F">
        <w:rPr>
          <w:rFonts w:ascii="Times New Roman" w:hAnsi="Times New Roman"/>
          <w:sz w:val="24"/>
          <w:szCs w:val="24"/>
        </w:rPr>
        <w:t xml:space="preserve"> imposto da variazioni di fatto e di diritto; ed è anche un interesse prevalente, che s’impone per tutelare un che di superiore, come, per esempio, i valori costituzionali, </w:t>
      </w:r>
      <w:r w:rsidR="00CE5C98">
        <w:rPr>
          <w:rFonts w:ascii="Times New Roman" w:hAnsi="Times New Roman"/>
          <w:sz w:val="24"/>
          <w:szCs w:val="24"/>
        </w:rPr>
        <w:t xml:space="preserve">il </w:t>
      </w:r>
      <w:r w:rsidRPr="00057E2F">
        <w:rPr>
          <w:rFonts w:ascii="Times New Roman" w:hAnsi="Times New Roman"/>
          <w:sz w:val="24"/>
          <w:szCs w:val="24"/>
        </w:rPr>
        <w:t xml:space="preserve">paesaggio o </w:t>
      </w:r>
      <w:r w:rsidR="00CE5C98">
        <w:rPr>
          <w:rFonts w:ascii="Times New Roman" w:hAnsi="Times New Roman"/>
          <w:sz w:val="24"/>
          <w:szCs w:val="24"/>
        </w:rPr>
        <w:t xml:space="preserve">la </w:t>
      </w:r>
      <w:r w:rsidRPr="00057E2F">
        <w:rPr>
          <w:rFonts w:ascii="Times New Roman" w:hAnsi="Times New Roman"/>
          <w:sz w:val="24"/>
          <w:szCs w:val="24"/>
        </w:rPr>
        <w:t xml:space="preserve">salute, o quanto sia imposto da un altro ordinamento, </w:t>
      </w:r>
      <w:r w:rsidR="009F40A5">
        <w:rPr>
          <w:rFonts w:ascii="Times New Roman" w:hAnsi="Times New Roman"/>
          <w:sz w:val="24"/>
          <w:szCs w:val="24"/>
        </w:rPr>
        <w:t xml:space="preserve">come, </w:t>
      </w:r>
      <w:r w:rsidRPr="00057E2F">
        <w:rPr>
          <w:rFonts w:ascii="Times New Roman" w:hAnsi="Times New Roman"/>
          <w:sz w:val="24"/>
          <w:szCs w:val="24"/>
        </w:rPr>
        <w:t>per esempio</w:t>
      </w:r>
      <w:r w:rsidR="009F40A5">
        <w:rPr>
          <w:rFonts w:ascii="Times New Roman" w:hAnsi="Times New Roman"/>
          <w:sz w:val="24"/>
          <w:szCs w:val="24"/>
        </w:rPr>
        <w:t xml:space="preserve">, </w:t>
      </w:r>
      <w:r w:rsidRPr="00057E2F">
        <w:rPr>
          <w:rFonts w:ascii="Times New Roman" w:hAnsi="Times New Roman"/>
          <w:sz w:val="24"/>
          <w:szCs w:val="24"/>
        </w:rPr>
        <w:t>le esigenze dell’ordinamento europeo o del diritto penale</w:t>
      </w:r>
      <w:r w:rsidRPr="00057E2F">
        <w:rPr>
          <w:rStyle w:val="Rimandonotaapidipagina"/>
          <w:rFonts w:ascii="Times New Roman" w:hAnsi="Times New Roman"/>
          <w:sz w:val="24"/>
          <w:szCs w:val="24"/>
        </w:rPr>
        <w:footnoteReference w:id="7"/>
      </w:r>
      <w:r w:rsidRPr="00057E2F">
        <w:rPr>
          <w:rFonts w:ascii="Times New Roman" w:hAnsi="Times New Roman"/>
          <w:sz w:val="24"/>
          <w:szCs w:val="24"/>
        </w:rPr>
        <w:t xml:space="preserve">. </w:t>
      </w:r>
    </w:p>
    <w:p w:rsidR="00221166" w:rsidRPr="00057E2F" w:rsidRDefault="00221166" w:rsidP="00632CAB">
      <w:pPr>
        <w:spacing w:after="0" w:line="240" w:lineRule="auto"/>
        <w:ind w:left="567" w:right="567"/>
        <w:jc w:val="both"/>
        <w:rPr>
          <w:rFonts w:ascii="Times New Roman" w:hAnsi="Times New Roman"/>
          <w:sz w:val="24"/>
          <w:szCs w:val="24"/>
        </w:rPr>
      </w:pPr>
      <w:r w:rsidRPr="00057E2F">
        <w:rPr>
          <w:rFonts w:ascii="Times New Roman" w:hAnsi="Times New Roman"/>
          <w:sz w:val="24"/>
          <w:szCs w:val="24"/>
        </w:rPr>
        <w:t xml:space="preserve">In questo modo l’interesse pubblico assume il valore di fattore trascendente. </w:t>
      </w:r>
      <w:r w:rsidR="0072299A">
        <w:rPr>
          <w:rFonts w:ascii="Times New Roman" w:hAnsi="Times New Roman"/>
          <w:sz w:val="24"/>
          <w:szCs w:val="24"/>
        </w:rPr>
        <w:t xml:space="preserve">A </w:t>
      </w:r>
      <w:r w:rsidRPr="00057E2F">
        <w:rPr>
          <w:rFonts w:ascii="Times New Roman" w:hAnsi="Times New Roman"/>
          <w:sz w:val="24"/>
          <w:szCs w:val="24"/>
        </w:rPr>
        <w:t xml:space="preserve">veder la cosa in termini soggettivi, </w:t>
      </w:r>
      <w:r w:rsidR="0072299A">
        <w:rPr>
          <w:rFonts w:ascii="Times New Roman" w:hAnsi="Times New Roman"/>
          <w:sz w:val="24"/>
          <w:szCs w:val="24"/>
        </w:rPr>
        <w:t xml:space="preserve">è </w:t>
      </w:r>
      <w:r w:rsidRPr="00057E2F">
        <w:rPr>
          <w:rFonts w:ascii="Times New Roman" w:hAnsi="Times New Roman"/>
          <w:sz w:val="24"/>
          <w:szCs w:val="24"/>
        </w:rPr>
        <w:t xml:space="preserve">un </w:t>
      </w:r>
      <w:r w:rsidRPr="00057E2F">
        <w:rPr>
          <w:rFonts w:ascii="Times New Roman" w:hAnsi="Times New Roman"/>
          <w:i/>
          <w:sz w:val="24"/>
          <w:szCs w:val="24"/>
        </w:rPr>
        <w:t>quid</w:t>
      </w:r>
      <w:r w:rsidRPr="00057E2F">
        <w:rPr>
          <w:rFonts w:ascii="Times New Roman" w:hAnsi="Times New Roman"/>
          <w:sz w:val="24"/>
          <w:szCs w:val="24"/>
        </w:rPr>
        <w:t xml:space="preserve"> dell’amministrazione: nel senso che è, sì, un termine oggettivato, ma resta un qualcosa che è nella «disponibilità </w:t>
      </w:r>
      <w:r w:rsidRPr="00CE5C98">
        <w:rPr>
          <w:rFonts w:ascii="Times New Roman" w:hAnsi="Times New Roman"/>
          <w:sz w:val="24"/>
          <w:szCs w:val="24"/>
        </w:rPr>
        <w:t>giuridica» dell’amministrazione</w:t>
      </w:r>
      <w:r w:rsidRPr="00057E2F">
        <w:rPr>
          <w:rStyle w:val="Rimandonotaapidipagina"/>
          <w:rFonts w:ascii="Times New Roman" w:hAnsi="Times New Roman"/>
        </w:rPr>
        <w:footnoteReference w:id="8"/>
      </w:r>
      <w:r w:rsidRPr="00057E2F">
        <w:rPr>
          <w:rFonts w:ascii="Times New Roman" w:hAnsi="Times New Roman"/>
          <w:sz w:val="24"/>
          <w:szCs w:val="24"/>
        </w:rPr>
        <w:t>. Ed è, per una visione della dottrina che a noi sembra molto efficace, una precisa esigenza della funzione</w:t>
      </w:r>
      <w:r w:rsidRPr="00057E2F">
        <w:rPr>
          <w:rStyle w:val="Rimandonotaapidipagina"/>
          <w:rFonts w:ascii="Times New Roman" w:hAnsi="Times New Roman"/>
          <w:sz w:val="24"/>
          <w:szCs w:val="24"/>
        </w:rPr>
        <w:footnoteReference w:id="9"/>
      </w:r>
      <w:r w:rsidR="00770A8A">
        <w:rPr>
          <w:rFonts w:ascii="Times New Roman" w:hAnsi="Times New Roman"/>
          <w:sz w:val="24"/>
          <w:szCs w:val="24"/>
        </w:rPr>
        <w:t>. F</w:t>
      </w:r>
      <w:r w:rsidRPr="00057E2F">
        <w:rPr>
          <w:rFonts w:ascii="Times New Roman" w:hAnsi="Times New Roman"/>
          <w:sz w:val="24"/>
          <w:szCs w:val="24"/>
        </w:rPr>
        <w:t>inisce per rispecchiare il fine istituzionale dell’ente</w:t>
      </w:r>
      <w:r w:rsidRPr="00057E2F">
        <w:rPr>
          <w:rStyle w:val="Rimandonotaapidipagina"/>
          <w:rFonts w:ascii="Times New Roman" w:hAnsi="Times New Roman"/>
        </w:rPr>
        <w:footnoteReference w:id="10"/>
      </w:r>
      <w:r w:rsidR="00770A8A">
        <w:rPr>
          <w:rFonts w:ascii="Times New Roman" w:hAnsi="Times New Roman"/>
          <w:sz w:val="24"/>
          <w:szCs w:val="24"/>
        </w:rPr>
        <w:t xml:space="preserve">, </w:t>
      </w:r>
      <w:r w:rsidRPr="00057E2F">
        <w:rPr>
          <w:rFonts w:ascii="Times New Roman" w:hAnsi="Times New Roman"/>
          <w:sz w:val="24"/>
          <w:szCs w:val="24"/>
        </w:rPr>
        <w:t xml:space="preserve">ma resta qualcosa di intimamente connesso </w:t>
      </w:r>
      <w:r w:rsidRPr="00057E2F">
        <w:rPr>
          <w:rFonts w:ascii="Times New Roman" w:hAnsi="Times New Roman"/>
          <w:sz w:val="24"/>
          <w:szCs w:val="24"/>
        </w:rPr>
        <w:lastRenderedPageBreak/>
        <w:t>all’amministrazione, per un profilo finale di opportunità e di risultato, secondo una formula folgorante: l’interesse pubblico è ciò che sia utile all’amministrazione</w:t>
      </w:r>
      <w:r w:rsidRPr="00057E2F">
        <w:rPr>
          <w:rStyle w:val="Rimandonotaapidipagina"/>
          <w:rFonts w:ascii="Times New Roman" w:hAnsi="Times New Roman"/>
        </w:rPr>
        <w:footnoteReference w:id="11"/>
      </w:r>
      <w:r w:rsidRPr="00057E2F">
        <w:rPr>
          <w:rFonts w:ascii="Times New Roman" w:hAnsi="Times New Roman"/>
          <w:sz w:val="24"/>
          <w:szCs w:val="24"/>
        </w:rPr>
        <w:t xml:space="preserve">. </w:t>
      </w:r>
    </w:p>
    <w:p w:rsidR="0078312B" w:rsidRDefault="0078312B" w:rsidP="00632CAB">
      <w:pPr>
        <w:tabs>
          <w:tab w:val="left" w:pos="3686"/>
        </w:tabs>
        <w:spacing w:after="0" w:line="240" w:lineRule="auto"/>
        <w:ind w:left="567" w:right="567"/>
        <w:jc w:val="both"/>
        <w:rPr>
          <w:rFonts w:ascii="Times New Roman" w:hAnsi="Times New Roman"/>
          <w:i/>
          <w:sz w:val="24"/>
          <w:szCs w:val="24"/>
        </w:rPr>
      </w:pPr>
    </w:p>
    <w:p w:rsidR="00C65164" w:rsidRDefault="00C65164" w:rsidP="00632CAB">
      <w:pPr>
        <w:tabs>
          <w:tab w:val="left" w:pos="3686"/>
        </w:tabs>
        <w:spacing w:after="0" w:line="240" w:lineRule="auto"/>
        <w:ind w:left="567" w:right="567"/>
        <w:jc w:val="both"/>
        <w:rPr>
          <w:rFonts w:ascii="Times New Roman" w:hAnsi="Times New Roman"/>
          <w:i/>
          <w:sz w:val="24"/>
          <w:szCs w:val="24"/>
        </w:rPr>
      </w:pPr>
    </w:p>
    <w:p w:rsidR="00667C08" w:rsidRDefault="00667C08" w:rsidP="00632CAB">
      <w:pPr>
        <w:tabs>
          <w:tab w:val="left" w:pos="3686"/>
        </w:tabs>
        <w:spacing w:after="0" w:line="240" w:lineRule="auto"/>
        <w:ind w:left="567" w:right="567"/>
        <w:jc w:val="both"/>
        <w:rPr>
          <w:rFonts w:ascii="Times New Roman" w:hAnsi="Times New Roman"/>
          <w:i/>
          <w:sz w:val="24"/>
          <w:szCs w:val="24"/>
        </w:rPr>
      </w:pPr>
    </w:p>
    <w:p w:rsidR="0078312B" w:rsidRPr="0078312B" w:rsidRDefault="0078312B" w:rsidP="00632CAB">
      <w:pPr>
        <w:tabs>
          <w:tab w:val="left" w:pos="3686"/>
        </w:tabs>
        <w:spacing w:after="0" w:line="240" w:lineRule="auto"/>
        <w:ind w:left="567" w:right="567"/>
        <w:jc w:val="both"/>
        <w:rPr>
          <w:rFonts w:ascii="Times New Roman" w:hAnsi="Times New Roman"/>
          <w:i/>
          <w:sz w:val="24"/>
          <w:szCs w:val="24"/>
        </w:rPr>
      </w:pPr>
      <w:r>
        <w:rPr>
          <w:rFonts w:ascii="Times New Roman" w:hAnsi="Times New Roman"/>
          <w:i/>
          <w:sz w:val="24"/>
          <w:szCs w:val="24"/>
        </w:rPr>
        <w:t>2.- Libertà economica e interesse generale.</w:t>
      </w:r>
    </w:p>
    <w:p w:rsidR="00221166" w:rsidRPr="00057E2F" w:rsidRDefault="00221166" w:rsidP="00632CAB">
      <w:pPr>
        <w:tabs>
          <w:tab w:val="left" w:pos="3686"/>
        </w:tabs>
        <w:spacing w:after="0" w:line="240" w:lineRule="auto"/>
        <w:ind w:left="567" w:right="567"/>
        <w:jc w:val="both"/>
        <w:rPr>
          <w:rFonts w:ascii="Times New Roman" w:hAnsi="Times New Roman"/>
          <w:sz w:val="24"/>
          <w:szCs w:val="24"/>
        </w:rPr>
      </w:pPr>
      <w:r w:rsidRPr="00057E2F">
        <w:rPr>
          <w:rFonts w:ascii="Times New Roman" w:hAnsi="Times New Roman"/>
          <w:sz w:val="24"/>
          <w:szCs w:val="24"/>
        </w:rPr>
        <w:t xml:space="preserve">Tutto questo costrutto sembra ora cedere alla libertà economica. E, meglio, al richiamo </w:t>
      </w:r>
      <w:r w:rsidR="00C65164">
        <w:rPr>
          <w:rFonts w:ascii="Times New Roman" w:hAnsi="Times New Roman"/>
          <w:sz w:val="24"/>
          <w:szCs w:val="24"/>
        </w:rPr>
        <w:t>a</w:t>
      </w:r>
      <w:r w:rsidR="0072299A">
        <w:rPr>
          <w:rFonts w:ascii="Times New Roman" w:hAnsi="Times New Roman"/>
          <w:sz w:val="24"/>
          <w:szCs w:val="24"/>
        </w:rPr>
        <w:t xml:space="preserve">l </w:t>
      </w:r>
      <w:r w:rsidRPr="00057E2F">
        <w:rPr>
          <w:rFonts w:ascii="Times New Roman" w:hAnsi="Times New Roman"/>
          <w:sz w:val="24"/>
          <w:szCs w:val="24"/>
        </w:rPr>
        <w:t>soggetto</w:t>
      </w:r>
      <w:r w:rsidR="002064CD">
        <w:rPr>
          <w:rStyle w:val="Rimandonotaapidipagina"/>
          <w:rFonts w:ascii="Times New Roman" w:hAnsi="Times New Roman"/>
          <w:sz w:val="24"/>
          <w:szCs w:val="24"/>
        </w:rPr>
        <w:footnoteReference w:id="12"/>
      </w:r>
      <w:r w:rsidRPr="00057E2F">
        <w:rPr>
          <w:rFonts w:ascii="Times New Roman" w:hAnsi="Times New Roman"/>
          <w:sz w:val="24"/>
          <w:szCs w:val="24"/>
        </w:rPr>
        <w:t>. Emerge qui la contrapposizione tra libertà economica del soggetto e utilità dell’amministrazione. Una dialettica che, posta così, sembra irresolubile. Si vorrebbe evitare di spezzare in due l’ordinamento - che è e resta unitario- e quindi quella dialettica potrebbe risolversi facendo assumere ai due termini significati e caratteri diversi</w:t>
      </w:r>
      <w:r w:rsidR="008B064D">
        <w:rPr>
          <w:rStyle w:val="Rimandonotaapidipagina"/>
          <w:rFonts w:ascii="Times New Roman" w:hAnsi="Times New Roman"/>
          <w:sz w:val="24"/>
          <w:szCs w:val="24"/>
        </w:rPr>
        <w:footnoteReference w:id="13"/>
      </w:r>
      <w:r w:rsidRPr="00057E2F">
        <w:rPr>
          <w:rFonts w:ascii="Times New Roman" w:hAnsi="Times New Roman"/>
          <w:sz w:val="24"/>
          <w:szCs w:val="24"/>
        </w:rPr>
        <w:t>. E vediamoli subito</w:t>
      </w:r>
      <w:r w:rsidR="0072299A">
        <w:rPr>
          <w:rFonts w:ascii="Times New Roman" w:hAnsi="Times New Roman"/>
          <w:sz w:val="24"/>
          <w:szCs w:val="24"/>
        </w:rPr>
        <w:t>: sono</w:t>
      </w:r>
      <w:r w:rsidRPr="00057E2F">
        <w:rPr>
          <w:rFonts w:ascii="Times New Roman" w:hAnsi="Times New Roman"/>
          <w:sz w:val="24"/>
          <w:szCs w:val="24"/>
        </w:rPr>
        <w:t xml:space="preserve"> l’indennizzo e l’interesse generale, entità diversa dall’interesse pubblico. Emergono nella giurisprudenza, che subito ne intuisce l’importanza e fissa un nuovo punto di equilibrio. Vi è un esempio chiaro: Tar Campania, </w:t>
      </w:r>
      <w:r w:rsidR="009F40A5">
        <w:rPr>
          <w:rFonts w:ascii="Times New Roman" w:hAnsi="Times New Roman"/>
          <w:sz w:val="24"/>
          <w:szCs w:val="24"/>
        </w:rPr>
        <w:t xml:space="preserve">sez. </w:t>
      </w:r>
      <w:r w:rsidRPr="00057E2F">
        <w:rPr>
          <w:rFonts w:ascii="Times New Roman" w:hAnsi="Times New Roman"/>
          <w:sz w:val="24"/>
          <w:szCs w:val="24"/>
        </w:rPr>
        <w:t>V, 1 febbraio 2016 n. 607; è un caso in cui si annullava d’ufficio l’aggiudicazione di un servizio comunale di riscossione tributi. Vi era un vizio di legittimità molto forte: l’aggiudicazione era adottata da organo incompetente</w:t>
      </w:r>
      <w:r w:rsidR="009F40A5">
        <w:rPr>
          <w:rFonts w:ascii="Times New Roman" w:hAnsi="Times New Roman"/>
          <w:sz w:val="24"/>
          <w:szCs w:val="24"/>
        </w:rPr>
        <w:t xml:space="preserve"> e</w:t>
      </w:r>
      <w:r w:rsidRPr="00057E2F">
        <w:rPr>
          <w:rFonts w:ascii="Times New Roman" w:hAnsi="Times New Roman"/>
          <w:sz w:val="24"/>
          <w:szCs w:val="24"/>
        </w:rPr>
        <w:t xml:space="preserve"> senza valutazione della forma di gestione più conveniente. Dunque un’illegittimità piena e profonda. Tuttavia, secondo il giudice, l’interesse contrapposto è la  «libertà negoziale nei rapporti economici</w:t>
      </w:r>
      <w:r w:rsidR="007763EF">
        <w:rPr>
          <w:rFonts w:ascii="Times New Roman" w:hAnsi="Times New Roman"/>
          <w:lang w:val="fr-FR"/>
        </w:rPr>
        <w:t>»</w:t>
      </w:r>
      <w:r w:rsidR="00770A8A">
        <w:rPr>
          <w:rStyle w:val="Rimandonotaapidipagina"/>
          <w:rFonts w:ascii="Times New Roman" w:hAnsi="Times New Roman"/>
          <w:lang w:val="fr-FR"/>
        </w:rPr>
        <w:footnoteReference w:id="14"/>
      </w:r>
      <w:r w:rsidRPr="00057E2F">
        <w:rPr>
          <w:rFonts w:ascii="Times New Roman" w:hAnsi="Times New Roman"/>
          <w:sz w:val="24"/>
          <w:szCs w:val="24"/>
        </w:rPr>
        <w:t xml:space="preserve">. Ed è meritevole di considerazione in sé e per sé, nonostante l’illegittimità dell’atto di aggiudicazione. Dunque viene fuori una scissione: legittima l’autotutela ma meritevole di tutela la libertà negoziale sottostante, insita nell’attività economica di riscossione. Ed ecco la soluzione del giudice: indennizzo e interesse generale. </w:t>
      </w:r>
      <w:r w:rsidR="00667C08">
        <w:rPr>
          <w:rFonts w:ascii="Times New Roman" w:hAnsi="Times New Roman"/>
          <w:sz w:val="24"/>
          <w:szCs w:val="24"/>
        </w:rPr>
        <w:t xml:space="preserve">Le conseguenze sono congruenti. </w:t>
      </w:r>
      <w:r w:rsidRPr="00057E2F">
        <w:rPr>
          <w:rFonts w:ascii="Times New Roman" w:hAnsi="Times New Roman"/>
          <w:sz w:val="24"/>
          <w:szCs w:val="24"/>
        </w:rPr>
        <w:t>Così,</w:t>
      </w:r>
      <w:r w:rsidR="002064CD">
        <w:rPr>
          <w:rFonts w:ascii="Times New Roman" w:hAnsi="Times New Roman"/>
          <w:sz w:val="24"/>
          <w:szCs w:val="24"/>
        </w:rPr>
        <w:t xml:space="preserve"> </w:t>
      </w:r>
      <w:r w:rsidRPr="00057E2F">
        <w:rPr>
          <w:rFonts w:ascii="Times New Roman" w:hAnsi="Times New Roman"/>
          <w:sz w:val="24"/>
          <w:szCs w:val="24"/>
        </w:rPr>
        <w:t xml:space="preserve">nella motivazione della sentenza citata, per lessico e concetti, il danno è trattato come un indennizzo: rappresenta un </w:t>
      </w:r>
      <w:r w:rsidR="00667C08" w:rsidRPr="00057E2F">
        <w:rPr>
          <w:rFonts w:ascii="Times New Roman" w:hAnsi="Times New Roman"/>
          <w:sz w:val="24"/>
          <w:szCs w:val="24"/>
        </w:rPr>
        <w:t>«</w:t>
      </w:r>
      <w:r w:rsidRPr="00057E2F">
        <w:rPr>
          <w:rFonts w:ascii="Times New Roman" w:hAnsi="Times New Roman"/>
          <w:sz w:val="24"/>
          <w:szCs w:val="24"/>
        </w:rPr>
        <w:t>giusto ristoro</w:t>
      </w:r>
      <w:r w:rsidR="00667C08" w:rsidRPr="00057E2F">
        <w:rPr>
          <w:rFonts w:ascii="Times New Roman" w:hAnsi="Times New Roman"/>
        </w:rPr>
        <w:t>»</w:t>
      </w:r>
      <w:r w:rsidRPr="00057E2F">
        <w:rPr>
          <w:rFonts w:ascii="Times New Roman" w:hAnsi="Times New Roman"/>
          <w:sz w:val="24"/>
          <w:szCs w:val="24"/>
        </w:rPr>
        <w:t xml:space="preserve">, è un’indennità e si limita al danno emergente. Inoltre, sempre leggendo </w:t>
      </w:r>
      <w:r>
        <w:rPr>
          <w:rFonts w:ascii="Times New Roman" w:hAnsi="Times New Roman"/>
          <w:sz w:val="24"/>
          <w:szCs w:val="24"/>
        </w:rPr>
        <w:t>il testo della motivazione</w:t>
      </w:r>
      <w:r w:rsidR="009F40A5">
        <w:rPr>
          <w:rFonts w:ascii="Times New Roman" w:hAnsi="Times New Roman"/>
          <w:sz w:val="24"/>
          <w:szCs w:val="24"/>
        </w:rPr>
        <w:t xml:space="preserve">, </w:t>
      </w:r>
      <w:r w:rsidRPr="00057E2F">
        <w:rPr>
          <w:rFonts w:ascii="Times New Roman" w:hAnsi="Times New Roman"/>
          <w:sz w:val="24"/>
          <w:szCs w:val="24"/>
        </w:rPr>
        <w:t xml:space="preserve">l’interesse che </w:t>
      </w:r>
      <w:r w:rsidR="00667C08">
        <w:rPr>
          <w:rFonts w:ascii="Times New Roman" w:hAnsi="Times New Roman"/>
          <w:sz w:val="24"/>
          <w:szCs w:val="24"/>
        </w:rPr>
        <w:t xml:space="preserve">giustifica l’annullamento è un </w:t>
      </w:r>
      <w:r w:rsidR="00667C08" w:rsidRPr="00057E2F">
        <w:rPr>
          <w:rFonts w:ascii="Times New Roman" w:hAnsi="Times New Roman"/>
          <w:sz w:val="24"/>
          <w:szCs w:val="24"/>
        </w:rPr>
        <w:t>«</w:t>
      </w:r>
      <w:r w:rsidRPr="00057E2F">
        <w:rPr>
          <w:rFonts w:ascii="Times New Roman" w:hAnsi="Times New Roman"/>
          <w:sz w:val="24"/>
          <w:szCs w:val="24"/>
        </w:rPr>
        <w:t>evidente risparmio di spesa</w:t>
      </w:r>
      <w:r w:rsidR="00667C08" w:rsidRPr="00057E2F">
        <w:rPr>
          <w:rFonts w:ascii="Times New Roman" w:hAnsi="Times New Roman"/>
        </w:rPr>
        <w:t>»</w:t>
      </w:r>
      <w:r w:rsidRPr="00057E2F">
        <w:rPr>
          <w:rFonts w:ascii="Times New Roman" w:hAnsi="Times New Roman"/>
          <w:sz w:val="24"/>
          <w:szCs w:val="24"/>
        </w:rPr>
        <w:t xml:space="preserve"> e, dunque, è un interesse finanziario dell’amministrazione, ma qui è inteso come interesse generale, </w:t>
      </w:r>
      <w:r>
        <w:rPr>
          <w:rFonts w:ascii="Times New Roman" w:hAnsi="Times New Roman"/>
          <w:sz w:val="24"/>
          <w:szCs w:val="24"/>
        </w:rPr>
        <w:t xml:space="preserve">perché è così alto il risparmio da riflettersi sull’intera comunità </w:t>
      </w:r>
      <w:r w:rsidRPr="00057E2F">
        <w:rPr>
          <w:rStyle w:val="Rimandonotaapidipagina"/>
          <w:rFonts w:ascii="Times New Roman" w:hAnsi="Times New Roman"/>
          <w:sz w:val="24"/>
          <w:szCs w:val="24"/>
        </w:rPr>
        <w:footnoteReference w:id="15"/>
      </w:r>
      <w:r w:rsidRPr="00057E2F">
        <w:rPr>
          <w:rFonts w:ascii="Times New Roman" w:hAnsi="Times New Roman"/>
          <w:sz w:val="24"/>
          <w:szCs w:val="24"/>
        </w:rPr>
        <w:t xml:space="preserve">. </w:t>
      </w:r>
    </w:p>
    <w:p w:rsidR="00221166" w:rsidRPr="00057E2F" w:rsidRDefault="00221166" w:rsidP="00632CAB">
      <w:pPr>
        <w:spacing w:after="0" w:line="240" w:lineRule="auto"/>
        <w:ind w:left="567" w:right="567"/>
        <w:jc w:val="both"/>
        <w:rPr>
          <w:rFonts w:ascii="Times New Roman" w:hAnsi="Times New Roman"/>
          <w:sz w:val="24"/>
          <w:szCs w:val="24"/>
        </w:rPr>
      </w:pPr>
      <w:r w:rsidRPr="00057E2F">
        <w:rPr>
          <w:rFonts w:ascii="Times New Roman" w:hAnsi="Times New Roman"/>
          <w:sz w:val="24"/>
          <w:szCs w:val="24"/>
        </w:rPr>
        <w:t>Cambiano dunque le categorie. Il primo cambiamento è nelle conseguenze. La libertà economica esige l’indennizzo. Lo si è visto nel caso citato e, su</w:t>
      </w:r>
      <w:r w:rsidR="0072299A">
        <w:rPr>
          <w:rFonts w:ascii="Times New Roman" w:hAnsi="Times New Roman"/>
          <w:sz w:val="24"/>
          <w:szCs w:val="24"/>
        </w:rPr>
        <w:t>l</w:t>
      </w:r>
      <w:r w:rsidRPr="00057E2F">
        <w:rPr>
          <w:rFonts w:ascii="Times New Roman" w:hAnsi="Times New Roman"/>
          <w:sz w:val="24"/>
          <w:szCs w:val="24"/>
        </w:rPr>
        <w:t xml:space="preserve"> piano </w:t>
      </w:r>
      <w:r w:rsidR="0072299A">
        <w:rPr>
          <w:rFonts w:ascii="Times New Roman" w:hAnsi="Times New Roman"/>
          <w:sz w:val="24"/>
          <w:szCs w:val="24"/>
        </w:rPr>
        <w:t xml:space="preserve">del </w:t>
      </w:r>
      <w:r w:rsidRPr="00057E2F">
        <w:rPr>
          <w:rFonts w:ascii="Times New Roman" w:hAnsi="Times New Roman"/>
          <w:sz w:val="24"/>
          <w:szCs w:val="24"/>
        </w:rPr>
        <w:t xml:space="preserve">sistema, </w:t>
      </w:r>
      <w:r w:rsidR="00E22DF6">
        <w:rPr>
          <w:rFonts w:ascii="Times New Roman" w:hAnsi="Times New Roman"/>
          <w:sz w:val="24"/>
          <w:szCs w:val="24"/>
        </w:rPr>
        <w:t>lo si vede nel fatto che l</w:t>
      </w:r>
      <w:r w:rsidRPr="00057E2F">
        <w:rPr>
          <w:rFonts w:ascii="Times New Roman" w:hAnsi="Times New Roman"/>
          <w:sz w:val="24"/>
          <w:szCs w:val="24"/>
        </w:rPr>
        <w:t xml:space="preserve">a </w:t>
      </w:r>
      <w:r w:rsidR="0078640E">
        <w:rPr>
          <w:rFonts w:ascii="Times New Roman" w:hAnsi="Times New Roman"/>
          <w:sz w:val="24"/>
          <w:szCs w:val="24"/>
        </w:rPr>
        <w:t xml:space="preserve">più sensibile </w:t>
      </w:r>
      <w:r w:rsidRPr="00057E2F">
        <w:rPr>
          <w:rFonts w:ascii="Times New Roman" w:hAnsi="Times New Roman"/>
          <w:sz w:val="24"/>
          <w:szCs w:val="24"/>
        </w:rPr>
        <w:t xml:space="preserve">dottrina </w:t>
      </w:r>
      <w:r w:rsidR="002D36A1">
        <w:rPr>
          <w:rFonts w:ascii="Times New Roman" w:hAnsi="Times New Roman"/>
          <w:sz w:val="24"/>
          <w:szCs w:val="24"/>
        </w:rPr>
        <w:t>riconosce l</w:t>
      </w:r>
      <w:r w:rsidR="0078640E">
        <w:rPr>
          <w:rFonts w:ascii="Times New Roman" w:hAnsi="Times New Roman"/>
          <w:sz w:val="24"/>
          <w:szCs w:val="24"/>
        </w:rPr>
        <w:t xml:space="preserve">’indennizzo </w:t>
      </w:r>
      <w:r w:rsidR="002D36A1">
        <w:rPr>
          <w:rFonts w:ascii="Times New Roman" w:hAnsi="Times New Roman"/>
          <w:sz w:val="24"/>
          <w:szCs w:val="24"/>
        </w:rPr>
        <w:t xml:space="preserve">per </w:t>
      </w:r>
      <w:r w:rsidRPr="00057E2F">
        <w:rPr>
          <w:rFonts w:ascii="Times New Roman" w:hAnsi="Times New Roman"/>
          <w:sz w:val="24"/>
          <w:szCs w:val="24"/>
        </w:rPr>
        <w:t xml:space="preserve">analogia con l’art. 21 </w:t>
      </w:r>
      <w:r w:rsidRPr="00057E2F">
        <w:rPr>
          <w:rFonts w:ascii="Times New Roman" w:hAnsi="Times New Roman"/>
          <w:i/>
          <w:sz w:val="24"/>
          <w:szCs w:val="24"/>
        </w:rPr>
        <w:t>quinquies</w:t>
      </w:r>
      <w:r w:rsidR="0031601A">
        <w:rPr>
          <w:rFonts w:ascii="Times New Roman" w:hAnsi="Times New Roman"/>
          <w:i/>
          <w:sz w:val="24"/>
          <w:szCs w:val="24"/>
        </w:rPr>
        <w:t xml:space="preserve"> </w:t>
      </w:r>
      <w:r w:rsidRPr="0031601A">
        <w:rPr>
          <w:rStyle w:val="Rimandonotaapidipagina"/>
          <w:rFonts w:ascii="Times New Roman" w:hAnsi="Times New Roman"/>
          <w:sz w:val="24"/>
          <w:szCs w:val="24"/>
        </w:rPr>
        <w:footnoteReference w:id="16"/>
      </w:r>
      <w:r w:rsidR="009F40A5">
        <w:rPr>
          <w:rFonts w:ascii="Times New Roman" w:hAnsi="Times New Roman"/>
          <w:i/>
          <w:sz w:val="24"/>
          <w:szCs w:val="24"/>
        </w:rPr>
        <w:t xml:space="preserve">. </w:t>
      </w:r>
      <w:r w:rsidR="009F40A5">
        <w:rPr>
          <w:rFonts w:ascii="Times New Roman" w:hAnsi="Times New Roman"/>
          <w:sz w:val="24"/>
          <w:szCs w:val="24"/>
        </w:rPr>
        <w:t>Il che si spiega</w:t>
      </w:r>
      <w:r w:rsidRPr="00057E2F">
        <w:rPr>
          <w:rFonts w:ascii="Times New Roman" w:hAnsi="Times New Roman"/>
          <w:sz w:val="24"/>
          <w:szCs w:val="24"/>
        </w:rPr>
        <w:t xml:space="preserve"> per quell’affievolimento dei diritti </w:t>
      </w:r>
      <w:r w:rsidR="0031601A">
        <w:rPr>
          <w:rFonts w:ascii="Times New Roman" w:hAnsi="Times New Roman"/>
          <w:sz w:val="24"/>
          <w:szCs w:val="24"/>
        </w:rPr>
        <w:t xml:space="preserve">soggettivi </w:t>
      </w:r>
      <w:r w:rsidRPr="00057E2F">
        <w:rPr>
          <w:rFonts w:ascii="Times New Roman" w:hAnsi="Times New Roman"/>
          <w:sz w:val="24"/>
          <w:szCs w:val="24"/>
        </w:rPr>
        <w:t>che è insito sia nella revoca sia nell’annullamento d’ufficio</w:t>
      </w:r>
      <w:r w:rsidRPr="00057E2F">
        <w:rPr>
          <w:rStyle w:val="Rimandonotaapidipagina"/>
          <w:rFonts w:ascii="Times New Roman" w:hAnsi="Times New Roman"/>
          <w:sz w:val="24"/>
          <w:szCs w:val="24"/>
        </w:rPr>
        <w:footnoteReference w:id="17"/>
      </w:r>
      <w:r w:rsidRPr="00057E2F">
        <w:rPr>
          <w:rFonts w:ascii="Times New Roman" w:hAnsi="Times New Roman"/>
          <w:sz w:val="24"/>
          <w:szCs w:val="24"/>
        </w:rPr>
        <w:t xml:space="preserve">. </w:t>
      </w:r>
    </w:p>
    <w:p w:rsidR="00221166" w:rsidRPr="00057E2F" w:rsidRDefault="00221166" w:rsidP="00632CAB">
      <w:pPr>
        <w:spacing w:after="0" w:line="240" w:lineRule="auto"/>
        <w:ind w:left="567" w:right="567"/>
        <w:jc w:val="both"/>
        <w:rPr>
          <w:rFonts w:ascii="Times New Roman" w:hAnsi="Times New Roman"/>
          <w:sz w:val="24"/>
          <w:szCs w:val="24"/>
        </w:rPr>
      </w:pPr>
      <w:r w:rsidRPr="00057E2F">
        <w:rPr>
          <w:rFonts w:ascii="Times New Roman" w:hAnsi="Times New Roman"/>
          <w:sz w:val="24"/>
          <w:szCs w:val="24"/>
        </w:rPr>
        <w:lastRenderedPageBreak/>
        <w:t xml:space="preserve">Il secondo cambiamento è nella natura dell’interesse. </w:t>
      </w:r>
      <w:r w:rsidR="009F40A5">
        <w:rPr>
          <w:rFonts w:ascii="Times New Roman" w:hAnsi="Times New Roman"/>
          <w:sz w:val="24"/>
          <w:szCs w:val="24"/>
        </w:rPr>
        <w:t>In questo caso, l</w:t>
      </w:r>
      <w:r w:rsidRPr="00057E2F">
        <w:rPr>
          <w:rFonts w:ascii="Times New Roman" w:hAnsi="Times New Roman"/>
          <w:sz w:val="24"/>
          <w:szCs w:val="24"/>
        </w:rPr>
        <w:t>’interesse non è più l’interesse pubblico specifico dell’amministrazione. E’</w:t>
      </w:r>
      <w:r w:rsidR="009F40A5">
        <w:rPr>
          <w:rFonts w:ascii="Times New Roman" w:hAnsi="Times New Roman"/>
          <w:sz w:val="24"/>
          <w:szCs w:val="24"/>
        </w:rPr>
        <w:t xml:space="preserve"> </w:t>
      </w:r>
      <w:r w:rsidRPr="00057E2F">
        <w:rPr>
          <w:rFonts w:ascii="Times New Roman" w:hAnsi="Times New Roman"/>
          <w:sz w:val="24"/>
          <w:szCs w:val="24"/>
        </w:rPr>
        <w:t>un’entità diversa: è interesse generale</w:t>
      </w:r>
      <w:r w:rsidRPr="00057E2F">
        <w:rPr>
          <w:rStyle w:val="Rimandonotaapidipagina"/>
          <w:rFonts w:ascii="Times New Roman" w:hAnsi="Times New Roman"/>
        </w:rPr>
        <w:footnoteReference w:id="18"/>
      </w:r>
      <w:r w:rsidRPr="00057E2F">
        <w:rPr>
          <w:rFonts w:ascii="Times New Roman" w:hAnsi="Times New Roman"/>
          <w:sz w:val="24"/>
          <w:szCs w:val="24"/>
        </w:rPr>
        <w:t>. Si presenta così nella giurisprudenza recente</w:t>
      </w:r>
      <w:r w:rsidRPr="00057E2F">
        <w:rPr>
          <w:rStyle w:val="Rimandonotaapidipagina"/>
          <w:rFonts w:ascii="Times New Roman" w:hAnsi="Times New Roman"/>
          <w:sz w:val="24"/>
          <w:szCs w:val="24"/>
        </w:rPr>
        <w:footnoteReference w:id="19"/>
      </w:r>
      <w:r w:rsidRPr="00057E2F">
        <w:rPr>
          <w:rFonts w:ascii="Times New Roman" w:hAnsi="Times New Roman"/>
          <w:sz w:val="24"/>
          <w:szCs w:val="24"/>
        </w:rPr>
        <w:t>. L’interesse generale è diverso, perché è un’esigenza che non appartiene all’amministrazione, ma assume il peso di un</w:t>
      </w:r>
      <w:r w:rsidR="002D36A1">
        <w:rPr>
          <w:rFonts w:ascii="Times New Roman" w:hAnsi="Times New Roman"/>
          <w:sz w:val="24"/>
          <w:szCs w:val="24"/>
        </w:rPr>
        <w:t>’</w:t>
      </w:r>
      <w:r w:rsidRPr="00057E2F">
        <w:rPr>
          <w:rFonts w:ascii="Times New Roman" w:hAnsi="Times New Roman"/>
          <w:sz w:val="24"/>
          <w:szCs w:val="24"/>
        </w:rPr>
        <w:t>esigenza imperativa e di carattere generale</w:t>
      </w:r>
      <w:r w:rsidRPr="00057E2F">
        <w:rPr>
          <w:rStyle w:val="Rimandonotaapidipagina"/>
          <w:rFonts w:ascii="Times New Roman" w:hAnsi="Times New Roman"/>
        </w:rPr>
        <w:footnoteReference w:id="20"/>
      </w:r>
      <w:r w:rsidRPr="00057E2F">
        <w:rPr>
          <w:rFonts w:ascii="Times New Roman" w:hAnsi="Times New Roman"/>
          <w:sz w:val="24"/>
          <w:szCs w:val="24"/>
        </w:rPr>
        <w:t>. E’ il «motivo imperativo di interesse generale</w:t>
      </w:r>
      <w:r w:rsidR="00CE5C98" w:rsidRPr="00057E2F">
        <w:rPr>
          <w:rFonts w:ascii="Times New Roman" w:hAnsi="Times New Roman"/>
        </w:rPr>
        <w:t>»</w:t>
      </w:r>
      <w:r w:rsidRPr="00057E2F">
        <w:rPr>
          <w:rFonts w:ascii="Times New Roman" w:hAnsi="Times New Roman"/>
          <w:sz w:val="24"/>
          <w:szCs w:val="24"/>
        </w:rPr>
        <w:t xml:space="preserve">. E’ tipico del diritto europeo e discende dal diritto civile francese. In particolare, emerge nella direttiva 2007/66 (22 considerando, art. 2 </w:t>
      </w:r>
      <w:r w:rsidRPr="00057E2F">
        <w:rPr>
          <w:rFonts w:ascii="Times New Roman" w:hAnsi="Times New Roman"/>
          <w:i/>
          <w:sz w:val="24"/>
          <w:szCs w:val="24"/>
        </w:rPr>
        <w:t>quinquies</w:t>
      </w:r>
      <w:r w:rsidRPr="00057E2F">
        <w:rPr>
          <w:rFonts w:ascii="Times New Roman" w:hAnsi="Times New Roman"/>
          <w:sz w:val="24"/>
          <w:szCs w:val="24"/>
        </w:rPr>
        <w:t>) e nella direttiva 2006/123 (considerando n. 40, art. 14)</w:t>
      </w:r>
      <w:r w:rsidR="00332BDF">
        <w:rPr>
          <w:rFonts w:ascii="Times New Roman" w:hAnsi="Times New Roman"/>
          <w:sz w:val="24"/>
          <w:szCs w:val="24"/>
        </w:rPr>
        <w:t>;</w:t>
      </w:r>
      <w:r w:rsidRPr="00057E2F">
        <w:rPr>
          <w:rFonts w:ascii="Times New Roman" w:hAnsi="Times New Roman"/>
          <w:sz w:val="24"/>
          <w:szCs w:val="24"/>
        </w:rPr>
        <w:t xml:space="preserve"> e</w:t>
      </w:r>
      <w:r w:rsidR="00CE5C98">
        <w:rPr>
          <w:rFonts w:ascii="Times New Roman" w:hAnsi="Times New Roman"/>
          <w:sz w:val="24"/>
          <w:szCs w:val="24"/>
        </w:rPr>
        <w:t>,</w:t>
      </w:r>
      <w:r w:rsidRPr="00057E2F">
        <w:rPr>
          <w:rFonts w:ascii="Times New Roman" w:hAnsi="Times New Roman"/>
          <w:sz w:val="24"/>
          <w:szCs w:val="24"/>
        </w:rPr>
        <w:t xml:space="preserve"> in fondo</w:t>
      </w:r>
      <w:r w:rsidR="00CE5C98">
        <w:rPr>
          <w:rFonts w:ascii="Times New Roman" w:hAnsi="Times New Roman"/>
          <w:sz w:val="24"/>
          <w:szCs w:val="24"/>
        </w:rPr>
        <w:t>,</w:t>
      </w:r>
      <w:r w:rsidRPr="00057E2F">
        <w:rPr>
          <w:rFonts w:ascii="Times New Roman" w:hAnsi="Times New Roman"/>
          <w:sz w:val="24"/>
          <w:szCs w:val="24"/>
        </w:rPr>
        <w:t xml:space="preserve"> viene fuori dalla giurisprudenza della Corte di giustizia, resa a proposito dei principi. Ma, a sua volta, </w:t>
      </w:r>
      <w:smartTag w:uri="urn:schemas-microsoft-com:office:smarttags" w:element="PersonName">
        <w:smartTagPr>
          <w:attr w:name="ProductID" w:val="la Corte"/>
        </w:smartTagPr>
        <w:r w:rsidRPr="00057E2F">
          <w:rPr>
            <w:rFonts w:ascii="Times New Roman" w:hAnsi="Times New Roman"/>
            <w:sz w:val="24"/>
            <w:szCs w:val="24"/>
          </w:rPr>
          <w:t>la Corte</w:t>
        </w:r>
      </w:smartTag>
      <w:r w:rsidRPr="00057E2F">
        <w:rPr>
          <w:rFonts w:ascii="Times New Roman" w:hAnsi="Times New Roman"/>
          <w:sz w:val="24"/>
          <w:szCs w:val="24"/>
        </w:rPr>
        <w:t xml:space="preserve"> dichiara di trarre la formula dalla tradizione continentale degli Stati</w:t>
      </w:r>
      <w:r w:rsidRPr="00057E2F">
        <w:rPr>
          <w:rStyle w:val="Rimandonotaapidipagina"/>
          <w:rFonts w:ascii="Times New Roman" w:hAnsi="Times New Roman"/>
          <w:sz w:val="24"/>
          <w:szCs w:val="24"/>
        </w:rPr>
        <w:footnoteReference w:id="21"/>
      </w:r>
      <w:r w:rsidRPr="00057E2F">
        <w:rPr>
          <w:rFonts w:ascii="Times New Roman" w:hAnsi="Times New Roman"/>
          <w:sz w:val="24"/>
          <w:szCs w:val="24"/>
        </w:rPr>
        <w:t xml:space="preserve">. Quindi ci si chiede: quale è la sua vera origine? </w:t>
      </w:r>
    </w:p>
    <w:p w:rsidR="00332BDF" w:rsidRDefault="00221166" w:rsidP="00932033">
      <w:pPr>
        <w:spacing w:after="0" w:line="240" w:lineRule="auto"/>
        <w:ind w:left="567" w:right="567"/>
        <w:jc w:val="both"/>
        <w:rPr>
          <w:rFonts w:ascii="Times New Roman" w:hAnsi="Times New Roman"/>
          <w:sz w:val="24"/>
          <w:szCs w:val="24"/>
        </w:rPr>
      </w:pPr>
      <w:r w:rsidRPr="00057E2F">
        <w:rPr>
          <w:rFonts w:ascii="Times New Roman" w:hAnsi="Times New Roman"/>
          <w:sz w:val="24"/>
          <w:szCs w:val="24"/>
        </w:rPr>
        <w:t xml:space="preserve">Il motivo imperativo d’interesse generale deriva dal diritto francese ed è già nel </w:t>
      </w:r>
      <w:r w:rsidRPr="00057E2F">
        <w:rPr>
          <w:rFonts w:ascii="Times New Roman" w:hAnsi="Times New Roman"/>
          <w:i/>
          <w:sz w:val="24"/>
          <w:szCs w:val="24"/>
        </w:rPr>
        <w:t>code civil</w:t>
      </w:r>
      <w:r w:rsidRPr="00057E2F">
        <w:rPr>
          <w:rFonts w:ascii="Times New Roman" w:hAnsi="Times New Roman"/>
          <w:sz w:val="24"/>
          <w:szCs w:val="24"/>
        </w:rPr>
        <w:t xml:space="preserve"> </w:t>
      </w:r>
      <w:r w:rsidRPr="00057E2F">
        <w:rPr>
          <w:rStyle w:val="Rimandonotaapidipagina"/>
          <w:rFonts w:ascii="Times New Roman" w:hAnsi="Times New Roman"/>
          <w:sz w:val="24"/>
          <w:szCs w:val="24"/>
        </w:rPr>
        <w:footnoteReference w:id="22"/>
      </w:r>
      <w:r w:rsidRPr="00057E2F">
        <w:rPr>
          <w:rFonts w:ascii="Times New Roman" w:hAnsi="Times New Roman"/>
          <w:sz w:val="24"/>
          <w:szCs w:val="24"/>
        </w:rPr>
        <w:t xml:space="preserve">. </w:t>
      </w:r>
      <w:r w:rsidR="009F40A5">
        <w:rPr>
          <w:rFonts w:ascii="Times New Roman" w:hAnsi="Times New Roman"/>
          <w:sz w:val="24"/>
          <w:szCs w:val="24"/>
        </w:rPr>
        <w:t>E</w:t>
      </w:r>
      <w:r w:rsidRPr="00057E2F">
        <w:rPr>
          <w:rFonts w:ascii="Times New Roman" w:hAnsi="Times New Roman"/>
          <w:sz w:val="24"/>
          <w:szCs w:val="24"/>
        </w:rPr>
        <w:t>ntra</w:t>
      </w:r>
      <w:r w:rsidR="009F40A5">
        <w:rPr>
          <w:rFonts w:ascii="Times New Roman" w:hAnsi="Times New Roman"/>
          <w:sz w:val="24"/>
          <w:szCs w:val="24"/>
        </w:rPr>
        <w:t xml:space="preserve"> dunque</w:t>
      </w:r>
      <w:r w:rsidRPr="00057E2F">
        <w:rPr>
          <w:rFonts w:ascii="Times New Roman" w:hAnsi="Times New Roman"/>
          <w:sz w:val="24"/>
          <w:szCs w:val="24"/>
        </w:rPr>
        <w:t xml:space="preserve"> nel nostro codice civile. Tocca l’autonomia negoziale e, a sua proiezione, la libertà d’iniziativa economica, che già era insita nell’autonomia privata</w:t>
      </w:r>
      <w:r w:rsidR="009F40A5">
        <w:rPr>
          <w:rFonts w:ascii="Times New Roman" w:hAnsi="Times New Roman"/>
          <w:sz w:val="24"/>
          <w:szCs w:val="24"/>
        </w:rPr>
        <w:t>,</w:t>
      </w:r>
      <w:r w:rsidRPr="00057E2F">
        <w:rPr>
          <w:rFonts w:ascii="Times New Roman" w:hAnsi="Times New Roman"/>
          <w:sz w:val="24"/>
          <w:szCs w:val="24"/>
        </w:rPr>
        <w:t xml:space="preserve"> per l</w:t>
      </w:r>
      <w:r>
        <w:rPr>
          <w:rFonts w:ascii="Times New Roman" w:hAnsi="Times New Roman"/>
          <w:sz w:val="24"/>
          <w:szCs w:val="24"/>
        </w:rPr>
        <w:t xml:space="preserve">’idea </w:t>
      </w:r>
      <w:r w:rsidRPr="00057E2F">
        <w:rPr>
          <w:rFonts w:ascii="Times New Roman" w:hAnsi="Times New Roman"/>
          <w:sz w:val="24"/>
          <w:szCs w:val="24"/>
        </w:rPr>
        <w:t>che ne aveva il codice civile</w:t>
      </w:r>
      <w:r w:rsidR="0055392D">
        <w:rPr>
          <w:rFonts w:ascii="Times New Roman" w:hAnsi="Times New Roman"/>
          <w:sz w:val="24"/>
          <w:szCs w:val="24"/>
        </w:rPr>
        <w:t xml:space="preserve"> italiano</w:t>
      </w:r>
      <w:r w:rsidRPr="00057E2F">
        <w:rPr>
          <w:rStyle w:val="Rimandonotaapidipagina"/>
          <w:rFonts w:ascii="Times New Roman" w:hAnsi="Times New Roman"/>
          <w:sz w:val="24"/>
          <w:szCs w:val="24"/>
        </w:rPr>
        <w:footnoteReference w:id="23"/>
      </w:r>
      <w:r w:rsidRPr="00057E2F">
        <w:rPr>
          <w:rFonts w:ascii="Times New Roman" w:hAnsi="Times New Roman"/>
          <w:sz w:val="24"/>
          <w:szCs w:val="24"/>
        </w:rPr>
        <w:t xml:space="preserve">. Di preciso, l’interesse generale opera </w:t>
      </w:r>
      <w:r w:rsidRPr="00057E2F">
        <w:rPr>
          <w:rFonts w:ascii="Times New Roman" w:hAnsi="Times New Roman"/>
          <w:sz w:val="24"/>
          <w:szCs w:val="24"/>
        </w:rPr>
        <w:lastRenderedPageBreak/>
        <w:t>come limite esterno dell’autonomia privata</w:t>
      </w:r>
      <w:r w:rsidRPr="00057E2F">
        <w:rPr>
          <w:rStyle w:val="Rimandonotaapidipagina"/>
          <w:rFonts w:ascii="Times New Roman" w:hAnsi="Times New Roman"/>
        </w:rPr>
        <w:footnoteReference w:id="24"/>
      </w:r>
      <w:r w:rsidRPr="00057E2F">
        <w:rPr>
          <w:rFonts w:ascii="Times New Roman" w:hAnsi="Times New Roman"/>
          <w:sz w:val="24"/>
          <w:szCs w:val="24"/>
        </w:rPr>
        <w:t xml:space="preserve">. E si contrappone all’interesse pubblico specifico dell’amministrazione: mentre l’interesse pubblico appartiene all’amministrazione, è una esigenza </w:t>
      </w:r>
      <w:r>
        <w:rPr>
          <w:rFonts w:ascii="Times New Roman" w:hAnsi="Times New Roman"/>
          <w:sz w:val="24"/>
          <w:szCs w:val="24"/>
        </w:rPr>
        <w:t xml:space="preserve">specifica della funzione </w:t>
      </w:r>
      <w:r w:rsidRPr="00057E2F">
        <w:rPr>
          <w:rFonts w:ascii="Times New Roman" w:hAnsi="Times New Roman"/>
          <w:sz w:val="24"/>
          <w:szCs w:val="24"/>
        </w:rPr>
        <w:t>e</w:t>
      </w:r>
      <w:r>
        <w:rPr>
          <w:rFonts w:ascii="Times New Roman" w:hAnsi="Times New Roman"/>
          <w:sz w:val="24"/>
          <w:szCs w:val="24"/>
        </w:rPr>
        <w:t xml:space="preserve"> si risolve in </w:t>
      </w:r>
      <w:r w:rsidRPr="00057E2F">
        <w:rPr>
          <w:rFonts w:ascii="Times New Roman" w:hAnsi="Times New Roman"/>
          <w:sz w:val="24"/>
          <w:szCs w:val="24"/>
        </w:rPr>
        <w:t xml:space="preserve">ciò che sia utile </w:t>
      </w:r>
      <w:r>
        <w:rPr>
          <w:rFonts w:ascii="Times New Roman" w:hAnsi="Times New Roman"/>
          <w:sz w:val="24"/>
          <w:szCs w:val="24"/>
        </w:rPr>
        <w:t>ad essa</w:t>
      </w:r>
      <w:r w:rsidRPr="00057E2F">
        <w:rPr>
          <w:rFonts w:ascii="Times New Roman" w:hAnsi="Times New Roman"/>
          <w:sz w:val="24"/>
          <w:szCs w:val="24"/>
        </w:rPr>
        <w:t>, l’interesse generale è ciò che sia utile a tutti</w:t>
      </w:r>
      <w:r w:rsidRPr="00057E2F">
        <w:rPr>
          <w:rStyle w:val="Rimandonotaapidipagina"/>
          <w:rFonts w:ascii="Times New Roman" w:hAnsi="Times New Roman"/>
        </w:rPr>
        <w:footnoteReference w:id="25"/>
      </w:r>
      <w:r w:rsidRPr="00057E2F">
        <w:rPr>
          <w:rFonts w:ascii="Times New Roman" w:hAnsi="Times New Roman"/>
          <w:sz w:val="24"/>
          <w:szCs w:val="24"/>
        </w:rPr>
        <w:t>. Difatti, è dettato dalla legge e ne rispecchia la matrice egualitaria e universale: rappresenta la volontà generale ed è dato per tutti e verso tutti</w:t>
      </w:r>
      <w:r w:rsidRPr="00057E2F">
        <w:rPr>
          <w:rStyle w:val="Rimandonotaapidipagina"/>
          <w:rFonts w:ascii="Times New Roman" w:hAnsi="Times New Roman"/>
        </w:rPr>
        <w:footnoteReference w:id="26"/>
      </w:r>
      <w:r w:rsidRPr="00057E2F">
        <w:rPr>
          <w:rFonts w:ascii="Times New Roman" w:hAnsi="Times New Roman"/>
          <w:sz w:val="24"/>
          <w:szCs w:val="24"/>
        </w:rPr>
        <w:t>. Per questo è categoria non tassativa e aperta</w:t>
      </w:r>
      <w:r w:rsidRPr="00057E2F">
        <w:rPr>
          <w:rStyle w:val="Rimandonotaapidipagina"/>
          <w:rFonts w:ascii="Times New Roman" w:hAnsi="Times New Roman"/>
          <w:sz w:val="24"/>
          <w:szCs w:val="24"/>
        </w:rPr>
        <w:footnoteReference w:id="27"/>
      </w:r>
      <w:r w:rsidR="00705796">
        <w:rPr>
          <w:rFonts w:ascii="Times New Roman" w:hAnsi="Times New Roman"/>
          <w:sz w:val="24"/>
          <w:szCs w:val="24"/>
        </w:rPr>
        <w:t xml:space="preserve">: </w:t>
      </w:r>
      <w:r w:rsidR="004C69EF">
        <w:rPr>
          <w:rFonts w:ascii="Times New Roman" w:hAnsi="Times New Roman"/>
          <w:sz w:val="24"/>
          <w:szCs w:val="24"/>
        </w:rPr>
        <w:t xml:space="preserve">per esempio, </w:t>
      </w:r>
      <w:r w:rsidRPr="00057E2F">
        <w:rPr>
          <w:rFonts w:ascii="Times New Roman" w:hAnsi="Times New Roman"/>
          <w:sz w:val="24"/>
          <w:szCs w:val="24"/>
        </w:rPr>
        <w:t>è l’ordine pubblico, la moralità pubblica, la sanità, l’interesse della parte debole; e, qui, è facile verificare che quel contenuto si ripete</w:t>
      </w:r>
      <w:r w:rsidR="006D7DE4">
        <w:rPr>
          <w:rFonts w:ascii="Times New Roman" w:hAnsi="Times New Roman"/>
          <w:sz w:val="24"/>
          <w:szCs w:val="24"/>
        </w:rPr>
        <w:t xml:space="preserve"> identico</w:t>
      </w:r>
      <w:r w:rsidRPr="00057E2F">
        <w:rPr>
          <w:rFonts w:ascii="Times New Roman" w:hAnsi="Times New Roman"/>
          <w:sz w:val="24"/>
          <w:szCs w:val="24"/>
        </w:rPr>
        <w:t xml:space="preserve"> nell’ordinamento civile francese, nell’ordinamento europeo e nell’ordinamento italiano, </w:t>
      </w:r>
      <w:r w:rsidR="00241604">
        <w:rPr>
          <w:rFonts w:ascii="Times New Roman" w:hAnsi="Times New Roman"/>
          <w:sz w:val="24"/>
          <w:szCs w:val="24"/>
        </w:rPr>
        <w:t xml:space="preserve">perché </w:t>
      </w:r>
      <w:r w:rsidRPr="00057E2F">
        <w:rPr>
          <w:rFonts w:ascii="Times New Roman" w:hAnsi="Times New Roman"/>
          <w:sz w:val="24"/>
          <w:szCs w:val="24"/>
        </w:rPr>
        <w:t xml:space="preserve">l’interesse </w:t>
      </w:r>
      <w:r w:rsidR="005304EE">
        <w:rPr>
          <w:rFonts w:ascii="Times New Roman" w:hAnsi="Times New Roman"/>
          <w:sz w:val="24"/>
          <w:szCs w:val="24"/>
        </w:rPr>
        <w:t xml:space="preserve">generale </w:t>
      </w:r>
      <w:r w:rsidRPr="00057E2F">
        <w:rPr>
          <w:rFonts w:ascii="Times New Roman" w:hAnsi="Times New Roman"/>
          <w:sz w:val="24"/>
          <w:szCs w:val="24"/>
        </w:rPr>
        <w:t>protetto riassume i principi</w:t>
      </w:r>
      <w:r w:rsidR="00612EB5">
        <w:rPr>
          <w:rFonts w:ascii="Times New Roman" w:hAnsi="Times New Roman"/>
          <w:sz w:val="24"/>
          <w:szCs w:val="24"/>
        </w:rPr>
        <w:t xml:space="preserve"> e gli assetti di base</w:t>
      </w:r>
      <w:r w:rsidRPr="00057E2F">
        <w:rPr>
          <w:rStyle w:val="Rimandonotaapidipagina"/>
          <w:rFonts w:ascii="Times New Roman" w:hAnsi="Times New Roman"/>
          <w:sz w:val="24"/>
          <w:szCs w:val="24"/>
        </w:rPr>
        <w:footnoteReference w:id="28"/>
      </w:r>
      <w:r w:rsidRPr="00057E2F">
        <w:rPr>
          <w:rFonts w:ascii="Times New Roman" w:hAnsi="Times New Roman"/>
          <w:sz w:val="24"/>
          <w:szCs w:val="24"/>
        </w:rPr>
        <w:t>. In particolare, in questo caso, tutto dipende dalla presupposizione della libertà, considerata come interesse messo a punto di origine dell’ordinamento</w:t>
      </w:r>
      <w:r w:rsidRPr="00057E2F">
        <w:rPr>
          <w:rStyle w:val="Rimandonotaapidipagina"/>
          <w:rFonts w:ascii="Times New Roman" w:hAnsi="Times New Roman"/>
          <w:sz w:val="24"/>
          <w:szCs w:val="24"/>
        </w:rPr>
        <w:footnoteReference w:id="29"/>
      </w:r>
      <w:r w:rsidRPr="00057E2F">
        <w:rPr>
          <w:rFonts w:ascii="Times New Roman" w:hAnsi="Times New Roman"/>
          <w:sz w:val="24"/>
          <w:szCs w:val="24"/>
        </w:rPr>
        <w:t>. In questo caso la libertà preesiste</w:t>
      </w:r>
      <w:r>
        <w:rPr>
          <w:rFonts w:ascii="Times New Roman" w:hAnsi="Times New Roman"/>
          <w:sz w:val="24"/>
          <w:szCs w:val="24"/>
        </w:rPr>
        <w:t xml:space="preserve">. </w:t>
      </w:r>
      <w:r w:rsidRPr="00057E2F">
        <w:rPr>
          <w:rFonts w:ascii="Times New Roman" w:hAnsi="Times New Roman"/>
          <w:sz w:val="24"/>
          <w:szCs w:val="24"/>
        </w:rPr>
        <w:t>In certe materie, l’assetto odierno è già dalla parte della libertà economica</w:t>
      </w:r>
      <w:r w:rsidRPr="00057E2F">
        <w:rPr>
          <w:rStyle w:val="Rimandonotaapidipagina"/>
          <w:rFonts w:ascii="Times New Roman" w:hAnsi="Times New Roman"/>
        </w:rPr>
        <w:footnoteReference w:id="30"/>
      </w:r>
      <w:r w:rsidRPr="00057E2F">
        <w:rPr>
          <w:rFonts w:ascii="Times New Roman" w:hAnsi="Times New Roman"/>
          <w:sz w:val="24"/>
          <w:szCs w:val="24"/>
        </w:rPr>
        <w:t xml:space="preserve">. </w:t>
      </w:r>
      <w:r w:rsidR="00785F33">
        <w:rPr>
          <w:rFonts w:ascii="Times New Roman" w:hAnsi="Times New Roman"/>
          <w:sz w:val="24"/>
          <w:szCs w:val="24"/>
        </w:rPr>
        <w:t>E r</w:t>
      </w:r>
      <w:r w:rsidRPr="00057E2F">
        <w:rPr>
          <w:rFonts w:ascii="Times New Roman" w:hAnsi="Times New Roman"/>
          <w:sz w:val="24"/>
          <w:szCs w:val="24"/>
        </w:rPr>
        <w:t>isolve</w:t>
      </w:r>
      <w:r>
        <w:rPr>
          <w:rFonts w:ascii="Times New Roman" w:hAnsi="Times New Roman"/>
          <w:sz w:val="24"/>
          <w:szCs w:val="24"/>
        </w:rPr>
        <w:t xml:space="preserve"> </w:t>
      </w:r>
      <w:r w:rsidRPr="00057E2F">
        <w:rPr>
          <w:rFonts w:ascii="Times New Roman" w:hAnsi="Times New Roman"/>
          <w:sz w:val="24"/>
          <w:szCs w:val="24"/>
        </w:rPr>
        <w:t xml:space="preserve">la vicenda del soggetto </w:t>
      </w:r>
      <w:r>
        <w:rPr>
          <w:rFonts w:ascii="Times New Roman" w:hAnsi="Times New Roman"/>
          <w:sz w:val="24"/>
          <w:szCs w:val="24"/>
        </w:rPr>
        <w:t>interessato</w:t>
      </w:r>
      <w:r w:rsidRPr="00057E2F">
        <w:rPr>
          <w:rFonts w:ascii="Times New Roman" w:hAnsi="Times New Roman"/>
          <w:sz w:val="24"/>
          <w:szCs w:val="24"/>
        </w:rPr>
        <w:t xml:space="preserve"> in esigenza della libertà contrattuale</w:t>
      </w:r>
      <w:r w:rsidRPr="00057E2F">
        <w:rPr>
          <w:rStyle w:val="Rimandonotaapidipagina"/>
          <w:rFonts w:ascii="Times New Roman" w:hAnsi="Times New Roman"/>
          <w:sz w:val="24"/>
          <w:szCs w:val="24"/>
        </w:rPr>
        <w:footnoteReference w:id="31"/>
      </w:r>
      <w:r w:rsidRPr="00057E2F">
        <w:rPr>
          <w:rFonts w:ascii="Times New Roman" w:hAnsi="Times New Roman"/>
          <w:sz w:val="24"/>
          <w:szCs w:val="24"/>
        </w:rPr>
        <w:t>.</w:t>
      </w:r>
      <w:r>
        <w:rPr>
          <w:rFonts w:ascii="Times New Roman" w:hAnsi="Times New Roman"/>
          <w:sz w:val="24"/>
          <w:szCs w:val="24"/>
        </w:rPr>
        <w:t xml:space="preserve"> </w:t>
      </w:r>
    </w:p>
    <w:p w:rsidR="00221166" w:rsidRPr="00057E2F" w:rsidRDefault="00332BDF" w:rsidP="006D7DE4">
      <w:pPr>
        <w:spacing w:after="0" w:line="240" w:lineRule="auto"/>
        <w:ind w:left="567" w:right="567"/>
        <w:jc w:val="both"/>
        <w:rPr>
          <w:rFonts w:ascii="Times New Roman" w:hAnsi="Times New Roman"/>
          <w:sz w:val="24"/>
          <w:szCs w:val="24"/>
        </w:rPr>
      </w:pPr>
      <w:r>
        <w:rPr>
          <w:rFonts w:ascii="Times New Roman" w:hAnsi="Times New Roman"/>
          <w:sz w:val="24"/>
          <w:szCs w:val="24"/>
        </w:rPr>
        <w:lastRenderedPageBreak/>
        <w:t xml:space="preserve">In conclusione, </w:t>
      </w:r>
      <w:r w:rsidR="00241604">
        <w:rPr>
          <w:rFonts w:ascii="Times New Roman" w:hAnsi="Times New Roman"/>
          <w:sz w:val="24"/>
          <w:szCs w:val="24"/>
        </w:rPr>
        <w:t>la libertà economica si fa sentire sotto forma di indennizzo e di interesse generale. Tuttavia, non bisogna cadere nell’equivoco</w:t>
      </w:r>
      <w:r w:rsidR="00932033">
        <w:rPr>
          <w:rFonts w:ascii="Times New Roman" w:hAnsi="Times New Roman"/>
          <w:sz w:val="24"/>
          <w:szCs w:val="24"/>
        </w:rPr>
        <w:t xml:space="preserve">: </w:t>
      </w:r>
      <w:r w:rsidR="00241604">
        <w:rPr>
          <w:rFonts w:ascii="Times New Roman" w:hAnsi="Times New Roman"/>
          <w:sz w:val="24"/>
          <w:szCs w:val="24"/>
        </w:rPr>
        <w:t>se l’interesse generale emerge con la libertà e trasforma il vecchio interesse pubblico, non per questo lo cancella</w:t>
      </w:r>
      <w:r w:rsidR="00715770">
        <w:rPr>
          <w:rStyle w:val="Rimandonotaapidipagina"/>
          <w:rFonts w:ascii="Times New Roman" w:hAnsi="Times New Roman"/>
          <w:sz w:val="24"/>
          <w:szCs w:val="24"/>
        </w:rPr>
        <w:footnoteReference w:id="32"/>
      </w:r>
      <w:r w:rsidR="00241604">
        <w:rPr>
          <w:rFonts w:ascii="Times New Roman" w:hAnsi="Times New Roman"/>
          <w:sz w:val="24"/>
          <w:szCs w:val="24"/>
        </w:rPr>
        <w:t xml:space="preserve">. </w:t>
      </w:r>
      <w:r w:rsidR="00932033">
        <w:rPr>
          <w:rFonts w:ascii="Times New Roman" w:hAnsi="Times New Roman"/>
          <w:sz w:val="24"/>
          <w:szCs w:val="24"/>
        </w:rPr>
        <w:t>U</w:t>
      </w:r>
      <w:r w:rsidR="00932033" w:rsidRPr="00057E2F">
        <w:rPr>
          <w:rFonts w:ascii="Times New Roman" w:hAnsi="Times New Roman"/>
          <w:sz w:val="24"/>
          <w:szCs w:val="24"/>
        </w:rPr>
        <w:t>na cosa è l’interesse generale e una cosa è l’interesse pubblico specifico dell’amministrazione.</w:t>
      </w:r>
      <w:r w:rsidR="00932033">
        <w:rPr>
          <w:rFonts w:ascii="Times New Roman" w:hAnsi="Times New Roman"/>
          <w:sz w:val="24"/>
          <w:szCs w:val="24"/>
        </w:rPr>
        <w:t xml:space="preserve"> L’interesse generale affiora assieme alla libertà economica, e come suo limite naturale; mentre l’interesse pubblico specifico sorge insieme al potere amministrativo</w:t>
      </w:r>
      <w:r w:rsidR="00E22DF6">
        <w:rPr>
          <w:rFonts w:ascii="Times New Roman" w:hAnsi="Times New Roman"/>
          <w:sz w:val="24"/>
          <w:szCs w:val="24"/>
        </w:rPr>
        <w:t>,</w:t>
      </w:r>
      <w:r w:rsidR="003F22D5">
        <w:rPr>
          <w:rFonts w:ascii="Times New Roman" w:hAnsi="Times New Roman"/>
          <w:sz w:val="24"/>
          <w:szCs w:val="24"/>
        </w:rPr>
        <w:t xml:space="preserve"> come sua causa,</w:t>
      </w:r>
      <w:r w:rsidR="002D36A1">
        <w:rPr>
          <w:rFonts w:ascii="Times New Roman" w:hAnsi="Times New Roman"/>
          <w:sz w:val="24"/>
          <w:szCs w:val="24"/>
        </w:rPr>
        <w:t xml:space="preserve"> là dove sia attribuito</w:t>
      </w:r>
      <w:r w:rsidR="00E22DF6">
        <w:rPr>
          <w:rFonts w:ascii="Times New Roman" w:hAnsi="Times New Roman"/>
          <w:sz w:val="24"/>
          <w:szCs w:val="24"/>
        </w:rPr>
        <w:t xml:space="preserve"> </w:t>
      </w:r>
      <w:r w:rsidR="003F22D5" w:rsidRPr="003F22D5">
        <w:rPr>
          <w:rFonts w:ascii="Times New Roman" w:hAnsi="Times New Roman"/>
          <w:i/>
          <w:sz w:val="24"/>
          <w:szCs w:val="24"/>
        </w:rPr>
        <w:t>ex lege</w:t>
      </w:r>
      <w:r w:rsidR="003F22D5">
        <w:rPr>
          <w:rFonts w:ascii="Times New Roman" w:hAnsi="Times New Roman"/>
          <w:sz w:val="24"/>
          <w:szCs w:val="24"/>
        </w:rPr>
        <w:t xml:space="preserve">, </w:t>
      </w:r>
      <w:r w:rsidR="00932033">
        <w:rPr>
          <w:rFonts w:ascii="Times New Roman" w:hAnsi="Times New Roman"/>
          <w:sz w:val="24"/>
          <w:szCs w:val="24"/>
        </w:rPr>
        <w:t>prima della libertà</w:t>
      </w:r>
      <w:r w:rsidR="003F22D5">
        <w:rPr>
          <w:rFonts w:ascii="Times New Roman" w:hAnsi="Times New Roman"/>
          <w:sz w:val="24"/>
          <w:szCs w:val="24"/>
        </w:rPr>
        <w:t xml:space="preserve"> </w:t>
      </w:r>
      <w:r w:rsidR="000737BE">
        <w:rPr>
          <w:rFonts w:ascii="Times New Roman" w:hAnsi="Times New Roman"/>
          <w:sz w:val="24"/>
          <w:szCs w:val="24"/>
        </w:rPr>
        <w:t xml:space="preserve">individuale </w:t>
      </w:r>
      <w:r w:rsidR="003F22D5">
        <w:rPr>
          <w:rFonts w:ascii="Times New Roman" w:hAnsi="Times New Roman"/>
          <w:sz w:val="24"/>
          <w:szCs w:val="24"/>
        </w:rPr>
        <w:t xml:space="preserve">e a rottura d’un tessuto </w:t>
      </w:r>
      <w:r w:rsidR="00D84681">
        <w:rPr>
          <w:rFonts w:ascii="Times New Roman" w:hAnsi="Times New Roman"/>
          <w:sz w:val="24"/>
          <w:szCs w:val="24"/>
        </w:rPr>
        <w:t xml:space="preserve">che tendenzialmente è </w:t>
      </w:r>
      <w:r w:rsidR="003F22D5">
        <w:rPr>
          <w:rFonts w:ascii="Times New Roman" w:hAnsi="Times New Roman"/>
          <w:sz w:val="24"/>
          <w:szCs w:val="24"/>
        </w:rPr>
        <w:t>paritario</w:t>
      </w:r>
      <w:r w:rsidR="00D84681" w:rsidRPr="008A1B24">
        <w:rPr>
          <w:rStyle w:val="Rimandonotaapidipagina"/>
        </w:rPr>
        <w:footnoteReference w:id="33"/>
      </w:r>
      <w:r w:rsidR="00932033">
        <w:rPr>
          <w:rFonts w:ascii="Times New Roman" w:hAnsi="Times New Roman"/>
          <w:sz w:val="24"/>
          <w:szCs w:val="24"/>
        </w:rPr>
        <w:t xml:space="preserve">. </w:t>
      </w:r>
      <w:r w:rsidR="009A2DBC">
        <w:rPr>
          <w:rFonts w:ascii="Times New Roman" w:hAnsi="Times New Roman"/>
          <w:sz w:val="24"/>
          <w:szCs w:val="24"/>
        </w:rPr>
        <w:t xml:space="preserve">Difatti, </w:t>
      </w:r>
      <w:r w:rsidR="00C96E23">
        <w:rPr>
          <w:rFonts w:ascii="Times New Roman" w:hAnsi="Times New Roman"/>
          <w:sz w:val="24"/>
          <w:szCs w:val="24"/>
        </w:rPr>
        <w:t xml:space="preserve">l’interesse pubblico </w:t>
      </w:r>
      <w:r w:rsidR="009A2DBC">
        <w:rPr>
          <w:rFonts w:ascii="Times New Roman" w:hAnsi="Times New Roman"/>
          <w:sz w:val="24"/>
          <w:szCs w:val="24"/>
        </w:rPr>
        <w:t>specifico r</w:t>
      </w:r>
      <w:r w:rsidR="000737BE">
        <w:rPr>
          <w:rFonts w:ascii="Times New Roman" w:hAnsi="Times New Roman"/>
          <w:sz w:val="24"/>
          <w:szCs w:val="24"/>
        </w:rPr>
        <w:t>appresenta l</w:t>
      </w:r>
      <w:r w:rsidR="00C96E23">
        <w:rPr>
          <w:rFonts w:ascii="Times New Roman" w:hAnsi="Times New Roman"/>
          <w:sz w:val="24"/>
          <w:szCs w:val="24"/>
        </w:rPr>
        <w:t>e esigenze della comunità e quindi</w:t>
      </w:r>
      <w:r w:rsidR="009A2DBC">
        <w:rPr>
          <w:rFonts w:ascii="Times New Roman" w:hAnsi="Times New Roman"/>
          <w:sz w:val="24"/>
          <w:szCs w:val="24"/>
        </w:rPr>
        <w:t xml:space="preserve"> più che un limite </w:t>
      </w:r>
      <w:r w:rsidR="00515516">
        <w:rPr>
          <w:rFonts w:ascii="Times New Roman" w:hAnsi="Times New Roman"/>
          <w:sz w:val="24"/>
          <w:szCs w:val="24"/>
        </w:rPr>
        <w:t xml:space="preserve">esterno </w:t>
      </w:r>
      <w:r w:rsidR="000737BE">
        <w:rPr>
          <w:rFonts w:ascii="Times New Roman" w:hAnsi="Times New Roman"/>
          <w:sz w:val="24"/>
          <w:szCs w:val="24"/>
        </w:rPr>
        <w:t xml:space="preserve">riflette </w:t>
      </w:r>
      <w:r w:rsidR="00C634FE">
        <w:rPr>
          <w:rFonts w:ascii="Times New Roman" w:hAnsi="Times New Roman"/>
          <w:sz w:val="24"/>
          <w:szCs w:val="24"/>
        </w:rPr>
        <w:t xml:space="preserve">un </w:t>
      </w:r>
      <w:r w:rsidR="00BF0DAE">
        <w:rPr>
          <w:rFonts w:ascii="Times New Roman" w:hAnsi="Times New Roman"/>
          <w:sz w:val="24"/>
          <w:szCs w:val="24"/>
        </w:rPr>
        <w:t xml:space="preserve">limite interno </w:t>
      </w:r>
      <w:r w:rsidR="00C634FE">
        <w:rPr>
          <w:rFonts w:ascii="Times New Roman" w:hAnsi="Times New Roman"/>
          <w:sz w:val="24"/>
          <w:szCs w:val="24"/>
        </w:rPr>
        <w:t>del</w:t>
      </w:r>
      <w:r w:rsidR="009A2DBC">
        <w:rPr>
          <w:rFonts w:ascii="Times New Roman" w:hAnsi="Times New Roman"/>
          <w:sz w:val="24"/>
          <w:szCs w:val="24"/>
        </w:rPr>
        <w:t>l’interesse individuale</w:t>
      </w:r>
      <w:r w:rsidR="00C65164">
        <w:rPr>
          <w:rFonts w:ascii="Times New Roman" w:hAnsi="Times New Roman"/>
          <w:sz w:val="24"/>
          <w:szCs w:val="24"/>
        </w:rPr>
        <w:t>, sin</w:t>
      </w:r>
      <w:r w:rsidR="00515516">
        <w:rPr>
          <w:rFonts w:ascii="Times New Roman" w:hAnsi="Times New Roman"/>
          <w:sz w:val="24"/>
          <w:szCs w:val="24"/>
        </w:rPr>
        <w:t xml:space="preserve"> dall’origine</w:t>
      </w:r>
      <w:r w:rsidR="009A2DBC">
        <w:rPr>
          <w:rFonts w:ascii="Times New Roman" w:hAnsi="Times New Roman"/>
          <w:sz w:val="24"/>
          <w:szCs w:val="24"/>
        </w:rPr>
        <w:t xml:space="preserve">; in fondo, </w:t>
      </w:r>
      <w:r w:rsidR="00932033">
        <w:rPr>
          <w:rFonts w:ascii="Times New Roman" w:hAnsi="Times New Roman"/>
          <w:sz w:val="24"/>
          <w:szCs w:val="24"/>
        </w:rPr>
        <w:t xml:space="preserve">tutto dipende dall’assetto degli interessi </w:t>
      </w:r>
      <w:r w:rsidR="009A2DBC">
        <w:rPr>
          <w:rFonts w:ascii="Times New Roman" w:hAnsi="Times New Roman"/>
          <w:sz w:val="24"/>
          <w:szCs w:val="24"/>
        </w:rPr>
        <w:t xml:space="preserve">impresso </w:t>
      </w:r>
      <w:r w:rsidR="00932033">
        <w:rPr>
          <w:rFonts w:ascii="Times New Roman" w:hAnsi="Times New Roman"/>
          <w:sz w:val="24"/>
          <w:szCs w:val="24"/>
        </w:rPr>
        <w:t>dall’ordinamento</w:t>
      </w:r>
      <w:r w:rsidR="00932033" w:rsidRPr="00057E2F">
        <w:rPr>
          <w:rStyle w:val="Rimandonotaapidipagina"/>
          <w:rFonts w:ascii="Times New Roman" w:hAnsi="Times New Roman"/>
        </w:rPr>
        <w:footnoteReference w:id="34"/>
      </w:r>
      <w:r w:rsidR="00932033">
        <w:rPr>
          <w:rFonts w:ascii="Times New Roman" w:hAnsi="Times New Roman"/>
          <w:sz w:val="24"/>
          <w:szCs w:val="24"/>
        </w:rPr>
        <w:t xml:space="preserve">. </w:t>
      </w:r>
      <w:r w:rsidR="002D36A1">
        <w:rPr>
          <w:rFonts w:ascii="Times New Roman" w:hAnsi="Times New Roman"/>
          <w:sz w:val="24"/>
          <w:szCs w:val="24"/>
        </w:rPr>
        <w:t>Il punto è che b</w:t>
      </w:r>
      <w:r w:rsidR="00241604">
        <w:rPr>
          <w:rFonts w:ascii="Times New Roman" w:hAnsi="Times New Roman"/>
          <w:sz w:val="24"/>
          <w:szCs w:val="24"/>
        </w:rPr>
        <w:t>isogn</w:t>
      </w:r>
      <w:r w:rsidR="00785F33">
        <w:rPr>
          <w:rFonts w:ascii="Times New Roman" w:hAnsi="Times New Roman"/>
          <w:sz w:val="24"/>
          <w:szCs w:val="24"/>
        </w:rPr>
        <w:t>erebbe</w:t>
      </w:r>
      <w:r w:rsidR="00241604">
        <w:rPr>
          <w:rFonts w:ascii="Times New Roman" w:hAnsi="Times New Roman"/>
          <w:sz w:val="24"/>
          <w:szCs w:val="24"/>
        </w:rPr>
        <w:t xml:space="preserve"> distinguere le materie</w:t>
      </w:r>
      <w:r w:rsidR="008D09BA">
        <w:rPr>
          <w:rFonts w:ascii="Times New Roman" w:hAnsi="Times New Roman"/>
          <w:sz w:val="24"/>
          <w:szCs w:val="24"/>
        </w:rPr>
        <w:t xml:space="preserve"> e, </w:t>
      </w:r>
      <w:r w:rsidR="00165F4A">
        <w:rPr>
          <w:rFonts w:ascii="Times New Roman" w:hAnsi="Times New Roman"/>
          <w:sz w:val="24"/>
          <w:szCs w:val="24"/>
        </w:rPr>
        <w:t>quindi</w:t>
      </w:r>
      <w:r w:rsidR="008D09BA">
        <w:rPr>
          <w:rFonts w:ascii="Times New Roman" w:hAnsi="Times New Roman"/>
          <w:sz w:val="24"/>
          <w:szCs w:val="24"/>
        </w:rPr>
        <w:t>,</w:t>
      </w:r>
      <w:r w:rsidR="00165F4A">
        <w:rPr>
          <w:rFonts w:ascii="Times New Roman" w:hAnsi="Times New Roman"/>
          <w:sz w:val="24"/>
          <w:szCs w:val="24"/>
        </w:rPr>
        <w:t xml:space="preserve"> molto dipende d</w:t>
      </w:r>
      <w:r w:rsidR="00932033">
        <w:rPr>
          <w:rFonts w:ascii="Times New Roman" w:hAnsi="Times New Roman"/>
          <w:sz w:val="24"/>
          <w:szCs w:val="24"/>
        </w:rPr>
        <w:t>a</w:t>
      </w:r>
      <w:r w:rsidR="00165F4A">
        <w:rPr>
          <w:rFonts w:ascii="Times New Roman" w:hAnsi="Times New Roman"/>
          <w:sz w:val="24"/>
          <w:szCs w:val="24"/>
        </w:rPr>
        <w:t>l legislatore delle riforme</w:t>
      </w:r>
      <w:r w:rsidR="008D09BA">
        <w:rPr>
          <w:rStyle w:val="Rimandonotaapidipagina"/>
          <w:rFonts w:ascii="Times New Roman" w:hAnsi="Times New Roman"/>
          <w:sz w:val="24"/>
          <w:szCs w:val="24"/>
        </w:rPr>
        <w:footnoteReference w:id="35"/>
      </w:r>
      <w:r w:rsidR="00165F4A">
        <w:rPr>
          <w:rFonts w:ascii="Times New Roman" w:hAnsi="Times New Roman"/>
          <w:sz w:val="24"/>
          <w:szCs w:val="24"/>
        </w:rPr>
        <w:t>.</w:t>
      </w:r>
      <w:r w:rsidR="00932033">
        <w:rPr>
          <w:rFonts w:ascii="Times New Roman" w:hAnsi="Times New Roman"/>
          <w:sz w:val="24"/>
          <w:szCs w:val="24"/>
        </w:rPr>
        <w:t xml:space="preserve"> Nella sua opera, </w:t>
      </w:r>
      <w:r w:rsidR="00705796">
        <w:rPr>
          <w:rFonts w:ascii="Times New Roman" w:hAnsi="Times New Roman"/>
          <w:sz w:val="24"/>
          <w:szCs w:val="24"/>
        </w:rPr>
        <w:t xml:space="preserve">il legislatore </w:t>
      </w:r>
      <w:r w:rsidR="00932033">
        <w:rPr>
          <w:rFonts w:ascii="Times New Roman" w:hAnsi="Times New Roman"/>
          <w:sz w:val="24"/>
          <w:szCs w:val="24"/>
        </w:rPr>
        <w:t xml:space="preserve">potrebbe tener conto della </w:t>
      </w:r>
      <w:r w:rsidR="00114917">
        <w:rPr>
          <w:rFonts w:ascii="Times New Roman" w:hAnsi="Times New Roman"/>
          <w:sz w:val="24"/>
          <w:szCs w:val="24"/>
        </w:rPr>
        <w:t>distinzione</w:t>
      </w:r>
      <w:r w:rsidR="00165F4A">
        <w:rPr>
          <w:rFonts w:ascii="Times New Roman" w:hAnsi="Times New Roman"/>
          <w:sz w:val="24"/>
          <w:szCs w:val="24"/>
        </w:rPr>
        <w:t xml:space="preserve"> tra interesse generale e interesse pubblico specifico</w:t>
      </w:r>
      <w:r w:rsidR="00932033">
        <w:rPr>
          <w:rFonts w:ascii="Times New Roman" w:hAnsi="Times New Roman"/>
          <w:sz w:val="24"/>
          <w:szCs w:val="24"/>
        </w:rPr>
        <w:t xml:space="preserve">. </w:t>
      </w:r>
      <w:r w:rsidR="006D7DE4">
        <w:rPr>
          <w:rFonts w:ascii="Times New Roman" w:hAnsi="Times New Roman"/>
          <w:sz w:val="24"/>
          <w:szCs w:val="24"/>
        </w:rPr>
        <w:t>La distinzione f</w:t>
      </w:r>
      <w:r w:rsidR="00932033">
        <w:rPr>
          <w:rFonts w:ascii="Times New Roman" w:hAnsi="Times New Roman"/>
          <w:sz w:val="24"/>
          <w:szCs w:val="24"/>
        </w:rPr>
        <w:t>a intravedere un significato, che forse</w:t>
      </w:r>
      <w:r w:rsidR="00165F4A">
        <w:rPr>
          <w:rFonts w:ascii="Times New Roman" w:hAnsi="Times New Roman"/>
          <w:sz w:val="24"/>
          <w:szCs w:val="24"/>
        </w:rPr>
        <w:t xml:space="preserve"> si può utilmente </w:t>
      </w:r>
      <w:r w:rsidR="00114917">
        <w:rPr>
          <w:rFonts w:ascii="Times New Roman" w:hAnsi="Times New Roman"/>
          <w:sz w:val="24"/>
          <w:szCs w:val="24"/>
        </w:rPr>
        <w:t>considerar</w:t>
      </w:r>
      <w:r w:rsidR="00612EB5">
        <w:rPr>
          <w:rFonts w:ascii="Times New Roman" w:hAnsi="Times New Roman"/>
          <w:sz w:val="24"/>
          <w:szCs w:val="24"/>
        </w:rPr>
        <w:t>e</w:t>
      </w:r>
      <w:r w:rsidR="00114917">
        <w:rPr>
          <w:rFonts w:ascii="Times New Roman" w:hAnsi="Times New Roman"/>
          <w:sz w:val="24"/>
          <w:szCs w:val="24"/>
        </w:rPr>
        <w:t xml:space="preserve">: </w:t>
      </w:r>
      <w:r w:rsidR="00507E4E">
        <w:rPr>
          <w:rFonts w:ascii="Times New Roman" w:hAnsi="Times New Roman"/>
          <w:sz w:val="24"/>
          <w:szCs w:val="24"/>
        </w:rPr>
        <w:t xml:space="preserve">l’interesse generale </w:t>
      </w:r>
      <w:r w:rsidR="00932033">
        <w:rPr>
          <w:rFonts w:ascii="Times New Roman" w:hAnsi="Times New Roman"/>
          <w:sz w:val="24"/>
          <w:szCs w:val="24"/>
        </w:rPr>
        <w:t xml:space="preserve">opera direttamente per legge, </w:t>
      </w:r>
      <w:r w:rsidR="00507E4E">
        <w:rPr>
          <w:rFonts w:ascii="Times New Roman" w:hAnsi="Times New Roman"/>
          <w:sz w:val="24"/>
          <w:szCs w:val="24"/>
        </w:rPr>
        <w:t>aspira all’universalità e può limitare la libertà economica solo</w:t>
      </w:r>
      <w:r w:rsidR="00114917">
        <w:rPr>
          <w:rFonts w:ascii="Times New Roman" w:hAnsi="Times New Roman"/>
          <w:sz w:val="24"/>
          <w:szCs w:val="24"/>
        </w:rPr>
        <w:t xml:space="preserve"> </w:t>
      </w:r>
      <w:r w:rsidR="00507E4E">
        <w:rPr>
          <w:rFonts w:ascii="Times New Roman" w:hAnsi="Times New Roman"/>
          <w:sz w:val="24"/>
          <w:szCs w:val="24"/>
        </w:rPr>
        <w:t>i</w:t>
      </w:r>
      <w:r w:rsidR="00114917">
        <w:rPr>
          <w:rFonts w:ascii="Times New Roman" w:hAnsi="Times New Roman"/>
          <w:sz w:val="24"/>
          <w:szCs w:val="24"/>
        </w:rPr>
        <w:t>n</w:t>
      </w:r>
      <w:r w:rsidR="00507E4E">
        <w:rPr>
          <w:rFonts w:ascii="Times New Roman" w:hAnsi="Times New Roman"/>
          <w:sz w:val="24"/>
          <w:szCs w:val="24"/>
        </w:rPr>
        <w:t xml:space="preserve"> casi nominati e tassativi</w:t>
      </w:r>
      <w:r w:rsidR="00932033">
        <w:rPr>
          <w:rFonts w:ascii="Times New Roman" w:hAnsi="Times New Roman"/>
          <w:sz w:val="24"/>
          <w:szCs w:val="24"/>
        </w:rPr>
        <w:t xml:space="preserve">; </w:t>
      </w:r>
      <w:r w:rsidR="00507E4E">
        <w:rPr>
          <w:rFonts w:ascii="Times New Roman" w:hAnsi="Times New Roman"/>
          <w:sz w:val="24"/>
          <w:szCs w:val="24"/>
        </w:rPr>
        <w:t>l’interesse pubblico specifico esprime</w:t>
      </w:r>
      <w:r w:rsidR="006B66B8">
        <w:rPr>
          <w:rFonts w:ascii="Times New Roman" w:hAnsi="Times New Roman"/>
          <w:sz w:val="24"/>
          <w:szCs w:val="24"/>
        </w:rPr>
        <w:t xml:space="preserve"> </w:t>
      </w:r>
      <w:r w:rsidR="00507E4E">
        <w:rPr>
          <w:rFonts w:ascii="Times New Roman" w:hAnsi="Times New Roman"/>
          <w:sz w:val="24"/>
          <w:szCs w:val="24"/>
        </w:rPr>
        <w:t>le esigenze dell</w:t>
      </w:r>
      <w:r w:rsidR="000737BE">
        <w:rPr>
          <w:rFonts w:ascii="Times New Roman" w:hAnsi="Times New Roman"/>
          <w:sz w:val="24"/>
          <w:szCs w:val="24"/>
        </w:rPr>
        <w:t>’a</w:t>
      </w:r>
      <w:r w:rsidR="00507E4E">
        <w:rPr>
          <w:rFonts w:ascii="Times New Roman" w:hAnsi="Times New Roman"/>
          <w:sz w:val="24"/>
          <w:szCs w:val="24"/>
        </w:rPr>
        <w:t xml:space="preserve">mministrazione in alcune </w:t>
      </w:r>
      <w:r w:rsidR="00553A92">
        <w:rPr>
          <w:rFonts w:ascii="Times New Roman" w:hAnsi="Times New Roman"/>
          <w:sz w:val="24"/>
          <w:szCs w:val="24"/>
        </w:rPr>
        <w:t xml:space="preserve">sue </w:t>
      </w:r>
      <w:r w:rsidR="00507E4E">
        <w:rPr>
          <w:rFonts w:ascii="Times New Roman" w:hAnsi="Times New Roman"/>
          <w:sz w:val="24"/>
          <w:szCs w:val="24"/>
        </w:rPr>
        <w:t>materie</w:t>
      </w:r>
      <w:r w:rsidR="00932033">
        <w:rPr>
          <w:rFonts w:ascii="Times New Roman" w:hAnsi="Times New Roman"/>
          <w:sz w:val="24"/>
          <w:szCs w:val="24"/>
        </w:rPr>
        <w:t>; sono</w:t>
      </w:r>
      <w:r w:rsidR="00114917">
        <w:rPr>
          <w:rFonts w:ascii="Times New Roman" w:hAnsi="Times New Roman"/>
          <w:sz w:val="24"/>
          <w:szCs w:val="24"/>
        </w:rPr>
        <w:t xml:space="preserve"> esigenze non universali </w:t>
      </w:r>
      <w:r w:rsidR="00553A92">
        <w:rPr>
          <w:rFonts w:ascii="Times New Roman" w:hAnsi="Times New Roman"/>
          <w:sz w:val="24"/>
          <w:szCs w:val="24"/>
        </w:rPr>
        <w:t>e</w:t>
      </w:r>
      <w:r w:rsidR="00114917">
        <w:rPr>
          <w:rFonts w:ascii="Times New Roman" w:hAnsi="Times New Roman"/>
          <w:sz w:val="24"/>
          <w:szCs w:val="24"/>
        </w:rPr>
        <w:t xml:space="preserve"> neanche singolari, </w:t>
      </w:r>
      <w:r w:rsidR="00553A92">
        <w:rPr>
          <w:rFonts w:ascii="Times New Roman" w:hAnsi="Times New Roman"/>
          <w:sz w:val="24"/>
          <w:szCs w:val="24"/>
        </w:rPr>
        <w:t xml:space="preserve">ma </w:t>
      </w:r>
      <w:r w:rsidR="00932033">
        <w:rPr>
          <w:rFonts w:ascii="Times New Roman" w:hAnsi="Times New Roman"/>
          <w:sz w:val="24"/>
          <w:szCs w:val="24"/>
        </w:rPr>
        <w:t xml:space="preserve">sono </w:t>
      </w:r>
      <w:r w:rsidR="00114917">
        <w:rPr>
          <w:rFonts w:ascii="Times New Roman" w:hAnsi="Times New Roman"/>
          <w:sz w:val="24"/>
          <w:szCs w:val="24"/>
        </w:rPr>
        <w:t xml:space="preserve">esigenze </w:t>
      </w:r>
      <w:r w:rsidR="00932033">
        <w:rPr>
          <w:rFonts w:ascii="Times New Roman" w:hAnsi="Times New Roman"/>
          <w:sz w:val="24"/>
          <w:szCs w:val="24"/>
        </w:rPr>
        <w:t>particolari e possono divenire</w:t>
      </w:r>
      <w:r w:rsidR="006D5AC5">
        <w:rPr>
          <w:rFonts w:ascii="Times New Roman" w:hAnsi="Times New Roman"/>
          <w:sz w:val="24"/>
          <w:szCs w:val="24"/>
        </w:rPr>
        <w:t xml:space="preserve"> </w:t>
      </w:r>
      <w:r w:rsidR="00114917">
        <w:rPr>
          <w:rFonts w:ascii="Times New Roman" w:hAnsi="Times New Roman"/>
          <w:sz w:val="24"/>
          <w:szCs w:val="24"/>
        </w:rPr>
        <w:t>particolarmente forti</w:t>
      </w:r>
      <w:r w:rsidR="00553A92">
        <w:rPr>
          <w:rFonts w:ascii="Times New Roman" w:hAnsi="Times New Roman"/>
          <w:sz w:val="24"/>
          <w:szCs w:val="24"/>
        </w:rPr>
        <w:t xml:space="preserve"> </w:t>
      </w:r>
      <w:r w:rsidR="00932033">
        <w:rPr>
          <w:rFonts w:ascii="Times New Roman" w:hAnsi="Times New Roman"/>
          <w:sz w:val="24"/>
          <w:szCs w:val="24"/>
        </w:rPr>
        <w:t xml:space="preserve">quando </w:t>
      </w:r>
      <w:r w:rsidR="006D5AC5">
        <w:rPr>
          <w:rFonts w:ascii="Times New Roman" w:hAnsi="Times New Roman"/>
          <w:sz w:val="24"/>
          <w:szCs w:val="24"/>
        </w:rPr>
        <w:t>s</w:t>
      </w:r>
      <w:r w:rsidR="00AB24E7">
        <w:rPr>
          <w:rFonts w:ascii="Times New Roman" w:hAnsi="Times New Roman"/>
          <w:sz w:val="24"/>
          <w:szCs w:val="24"/>
        </w:rPr>
        <w:t>ia</w:t>
      </w:r>
      <w:r w:rsidR="006D5AC5">
        <w:rPr>
          <w:rFonts w:ascii="Times New Roman" w:hAnsi="Times New Roman"/>
          <w:sz w:val="24"/>
          <w:szCs w:val="24"/>
        </w:rPr>
        <w:t xml:space="preserve">no </w:t>
      </w:r>
      <w:r w:rsidR="006D7DE4">
        <w:rPr>
          <w:rFonts w:ascii="Times New Roman" w:hAnsi="Times New Roman"/>
          <w:sz w:val="24"/>
          <w:szCs w:val="24"/>
        </w:rPr>
        <w:t xml:space="preserve">proprie </w:t>
      </w:r>
      <w:r w:rsidR="00612EB5">
        <w:rPr>
          <w:rFonts w:ascii="Times New Roman" w:hAnsi="Times New Roman"/>
          <w:sz w:val="24"/>
          <w:szCs w:val="24"/>
        </w:rPr>
        <w:t xml:space="preserve">di </w:t>
      </w:r>
      <w:r w:rsidR="00553A92">
        <w:rPr>
          <w:rFonts w:ascii="Times New Roman" w:hAnsi="Times New Roman"/>
          <w:sz w:val="24"/>
          <w:szCs w:val="24"/>
        </w:rPr>
        <w:t>certe materie</w:t>
      </w:r>
      <w:r w:rsidR="006D5AC5">
        <w:rPr>
          <w:rFonts w:ascii="Times New Roman" w:hAnsi="Times New Roman"/>
          <w:sz w:val="24"/>
          <w:szCs w:val="24"/>
        </w:rPr>
        <w:t>,</w:t>
      </w:r>
      <w:r w:rsidR="00553A92">
        <w:rPr>
          <w:rFonts w:ascii="Times New Roman" w:hAnsi="Times New Roman"/>
          <w:sz w:val="24"/>
          <w:szCs w:val="24"/>
        </w:rPr>
        <w:t xml:space="preserve"> </w:t>
      </w:r>
      <w:r w:rsidR="00612EB5">
        <w:rPr>
          <w:rFonts w:ascii="Times New Roman" w:hAnsi="Times New Roman"/>
          <w:sz w:val="24"/>
          <w:szCs w:val="24"/>
        </w:rPr>
        <w:t xml:space="preserve">di </w:t>
      </w:r>
      <w:r w:rsidR="00553A92">
        <w:rPr>
          <w:rFonts w:ascii="Times New Roman" w:hAnsi="Times New Roman"/>
          <w:sz w:val="24"/>
          <w:szCs w:val="24"/>
        </w:rPr>
        <w:t>certe fasi</w:t>
      </w:r>
      <w:r w:rsidR="006D5AC5">
        <w:rPr>
          <w:rFonts w:ascii="Times New Roman" w:hAnsi="Times New Roman"/>
          <w:sz w:val="24"/>
          <w:szCs w:val="24"/>
        </w:rPr>
        <w:t xml:space="preserve"> </w:t>
      </w:r>
      <w:r w:rsidR="00667C08">
        <w:rPr>
          <w:rFonts w:ascii="Times New Roman" w:hAnsi="Times New Roman"/>
          <w:sz w:val="24"/>
          <w:szCs w:val="24"/>
        </w:rPr>
        <w:t xml:space="preserve">storiche </w:t>
      </w:r>
      <w:r w:rsidR="006D5AC5">
        <w:rPr>
          <w:rFonts w:ascii="Times New Roman" w:hAnsi="Times New Roman"/>
          <w:sz w:val="24"/>
          <w:szCs w:val="24"/>
        </w:rPr>
        <w:t>e di certi pezzi della</w:t>
      </w:r>
      <w:r w:rsidR="006D7DE4">
        <w:rPr>
          <w:rFonts w:ascii="Times New Roman" w:hAnsi="Times New Roman"/>
          <w:sz w:val="24"/>
          <w:szCs w:val="24"/>
        </w:rPr>
        <w:t xml:space="preserve"> società</w:t>
      </w:r>
      <w:r w:rsidR="00C81FE7">
        <w:rPr>
          <w:rStyle w:val="Rimandonotaapidipagina"/>
          <w:rFonts w:ascii="Times New Roman" w:hAnsi="Times New Roman"/>
          <w:sz w:val="24"/>
          <w:szCs w:val="24"/>
        </w:rPr>
        <w:footnoteReference w:id="36"/>
      </w:r>
      <w:r w:rsidR="00114917">
        <w:rPr>
          <w:rFonts w:ascii="Times New Roman" w:hAnsi="Times New Roman"/>
          <w:sz w:val="24"/>
          <w:szCs w:val="24"/>
        </w:rPr>
        <w:t>.</w:t>
      </w:r>
      <w:r w:rsidR="00165F4A">
        <w:rPr>
          <w:rFonts w:ascii="Times New Roman" w:hAnsi="Times New Roman"/>
          <w:sz w:val="24"/>
          <w:szCs w:val="24"/>
        </w:rPr>
        <w:t xml:space="preserve"> </w:t>
      </w:r>
    </w:p>
    <w:sectPr w:rsidR="00221166" w:rsidRPr="00057E2F" w:rsidSect="002645D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9B" w:rsidRDefault="0022569B" w:rsidP="00CF35A4">
      <w:pPr>
        <w:spacing w:after="0" w:line="240" w:lineRule="auto"/>
      </w:pPr>
      <w:r>
        <w:separator/>
      </w:r>
    </w:p>
  </w:endnote>
  <w:endnote w:type="continuationSeparator" w:id="0">
    <w:p w:rsidR="0022569B" w:rsidRDefault="0022569B" w:rsidP="00CF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8233"/>
      <w:docPartObj>
        <w:docPartGallery w:val="Page Numbers (Bottom of Page)"/>
        <w:docPartUnique/>
      </w:docPartObj>
    </w:sdtPr>
    <w:sdtEndPr/>
    <w:sdtContent>
      <w:p w:rsidR="00667C08" w:rsidRDefault="0022569B">
        <w:pPr>
          <w:pStyle w:val="Pidipagina"/>
        </w:pPr>
        <w:r>
          <w:fldChar w:fldCharType="begin"/>
        </w:r>
        <w:r>
          <w:instrText xml:space="preserve"> PAGE   \* MERGEFORMAT </w:instrText>
        </w:r>
        <w:r>
          <w:fldChar w:fldCharType="separate"/>
        </w:r>
        <w:r w:rsidR="00955854">
          <w:rPr>
            <w:noProof/>
          </w:rPr>
          <w:t>1</w:t>
        </w:r>
        <w:r>
          <w:rPr>
            <w:noProof/>
          </w:rPr>
          <w:fldChar w:fldCharType="end"/>
        </w:r>
      </w:p>
    </w:sdtContent>
  </w:sdt>
  <w:p w:rsidR="00667C08" w:rsidRDefault="00667C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9B" w:rsidRDefault="0022569B" w:rsidP="00CF35A4">
      <w:pPr>
        <w:spacing w:after="0" w:line="240" w:lineRule="auto"/>
      </w:pPr>
      <w:r>
        <w:separator/>
      </w:r>
    </w:p>
  </w:footnote>
  <w:footnote w:type="continuationSeparator" w:id="0">
    <w:p w:rsidR="0022569B" w:rsidRDefault="0022569B" w:rsidP="00CF35A4">
      <w:pPr>
        <w:spacing w:after="0" w:line="240" w:lineRule="auto"/>
      </w:pPr>
      <w:r>
        <w:continuationSeparator/>
      </w:r>
    </w:p>
  </w:footnote>
  <w:footnote w:id="1">
    <w:p w:rsidR="00332BDF" w:rsidRPr="002D36A1" w:rsidRDefault="00332BDF" w:rsidP="00332BDF">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v. Cons. St. sez. V 29 dicembre 1950 n. 1338, Foro it., 1951, III, 228, con nota critica di A. DE VALLES, </w:t>
      </w:r>
      <w:r w:rsidRPr="002D36A1">
        <w:rPr>
          <w:rFonts w:ascii="Times New Roman" w:hAnsi="Times New Roman"/>
          <w:i/>
        </w:rPr>
        <w:t xml:space="preserve">Annullamento d’ufficio ed interesse pubblico, ibidem, </w:t>
      </w:r>
      <w:r w:rsidRPr="002D36A1">
        <w:rPr>
          <w:rFonts w:ascii="Times New Roman" w:hAnsi="Times New Roman"/>
        </w:rPr>
        <w:t>228; la decisione si inserisce in un preciso orientamento, che</w:t>
      </w:r>
      <w:r w:rsidR="0055392D">
        <w:rPr>
          <w:rFonts w:ascii="Times New Roman" w:hAnsi="Times New Roman"/>
        </w:rPr>
        <w:t xml:space="preserve"> inizia in quegli anni ed</w:t>
      </w:r>
      <w:r w:rsidRPr="002D36A1">
        <w:rPr>
          <w:rFonts w:ascii="Times New Roman" w:hAnsi="Times New Roman"/>
        </w:rPr>
        <w:t xml:space="preserve"> esige un interesse pubblico concreto e attuale – v. Cons. St., sez. I, parere, 14 febbraio 1950 n. 193 (in </w:t>
      </w:r>
      <w:r w:rsidRPr="002D36A1">
        <w:rPr>
          <w:rFonts w:ascii="Times New Roman" w:hAnsi="Times New Roman"/>
          <w:i/>
        </w:rPr>
        <w:t>Cons. St</w:t>
      </w:r>
      <w:r w:rsidRPr="002D36A1">
        <w:rPr>
          <w:rFonts w:ascii="Times New Roman" w:hAnsi="Times New Roman"/>
        </w:rPr>
        <w:t>.</w:t>
      </w:r>
      <w:r w:rsidRPr="002D36A1">
        <w:rPr>
          <w:rFonts w:ascii="Times New Roman" w:hAnsi="Times New Roman"/>
          <w:i/>
        </w:rPr>
        <w:t xml:space="preserve"> Raccolta</w:t>
      </w:r>
      <w:r w:rsidRPr="002D36A1">
        <w:rPr>
          <w:rFonts w:ascii="Times New Roman" w:hAnsi="Times New Roman"/>
        </w:rPr>
        <w:t xml:space="preserve">, 1950, 1306), Cons. St., sez. IV, 3 maggio 1950 n. 246  (in </w:t>
      </w:r>
      <w:r w:rsidRPr="002D36A1">
        <w:rPr>
          <w:rFonts w:ascii="Times New Roman" w:hAnsi="Times New Roman"/>
          <w:i/>
        </w:rPr>
        <w:t>Cons. St</w:t>
      </w:r>
      <w:r w:rsidRPr="002D36A1">
        <w:rPr>
          <w:rFonts w:ascii="Times New Roman" w:hAnsi="Times New Roman"/>
        </w:rPr>
        <w:t>.</w:t>
      </w:r>
      <w:r w:rsidRPr="002D36A1">
        <w:rPr>
          <w:rFonts w:ascii="Times New Roman" w:hAnsi="Times New Roman"/>
          <w:i/>
        </w:rPr>
        <w:t xml:space="preserve"> Raccolta</w:t>
      </w:r>
      <w:r w:rsidRPr="002D36A1">
        <w:rPr>
          <w:rFonts w:ascii="Times New Roman" w:hAnsi="Times New Roman"/>
        </w:rPr>
        <w:t>, 1950, 140), Cons. St., sez.</w:t>
      </w:r>
      <w:r>
        <w:rPr>
          <w:rFonts w:ascii="Times New Roman" w:hAnsi="Times New Roman"/>
        </w:rPr>
        <w:t xml:space="preserve"> </w:t>
      </w:r>
      <w:r w:rsidRPr="002D36A1">
        <w:rPr>
          <w:rFonts w:ascii="Times New Roman" w:hAnsi="Times New Roman"/>
        </w:rPr>
        <w:t xml:space="preserve">V, 29 dicembre 1950 n. 1338  (in </w:t>
      </w:r>
      <w:r w:rsidRPr="002D36A1">
        <w:rPr>
          <w:rFonts w:ascii="Times New Roman" w:hAnsi="Times New Roman"/>
          <w:i/>
        </w:rPr>
        <w:t>Cons. St</w:t>
      </w:r>
      <w:r w:rsidRPr="002D36A1">
        <w:rPr>
          <w:rFonts w:ascii="Times New Roman" w:hAnsi="Times New Roman"/>
        </w:rPr>
        <w:t>.</w:t>
      </w:r>
      <w:r w:rsidRPr="002D36A1">
        <w:rPr>
          <w:rFonts w:ascii="Times New Roman" w:hAnsi="Times New Roman"/>
          <w:i/>
        </w:rPr>
        <w:t xml:space="preserve"> Raccolta</w:t>
      </w:r>
      <w:r w:rsidRPr="002D36A1">
        <w:rPr>
          <w:rFonts w:ascii="Times New Roman" w:hAnsi="Times New Roman"/>
        </w:rPr>
        <w:t xml:space="preserve">, 1950, 823), Cons. St. sez. VI 11 dicembre 1951 n. 614  (in </w:t>
      </w:r>
      <w:r w:rsidRPr="002D36A1">
        <w:rPr>
          <w:rFonts w:ascii="Times New Roman" w:hAnsi="Times New Roman"/>
          <w:i/>
        </w:rPr>
        <w:t>Cons. St</w:t>
      </w:r>
      <w:r w:rsidRPr="002D36A1">
        <w:rPr>
          <w:rFonts w:ascii="Times New Roman" w:hAnsi="Times New Roman"/>
        </w:rPr>
        <w:t>.</w:t>
      </w:r>
      <w:r w:rsidRPr="002D36A1">
        <w:rPr>
          <w:rFonts w:ascii="Times New Roman" w:hAnsi="Times New Roman"/>
          <w:i/>
        </w:rPr>
        <w:t xml:space="preserve"> Raccolta</w:t>
      </w:r>
      <w:r w:rsidRPr="002D36A1">
        <w:rPr>
          <w:rFonts w:ascii="Times New Roman" w:hAnsi="Times New Roman"/>
        </w:rPr>
        <w:t xml:space="preserve">, 1951, 1469). </w:t>
      </w:r>
    </w:p>
  </w:footnote>
  <w:footnote w:id="2">
    <w:p w:rsidR="00553C86" w:rsidRPr="002D36A1" w:rsidRDefault="00553C86" w:rsidP="00553C86">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cfr. SANTI ROMANO, </w:t>
      </w:r>
      <w:r w:rsidRPr="002D36A1">
        <w:rPr>
          <w:rFonts w:ascii="Times New Roman" w:hAnsi="Times New Roman"/>
          <w:i/>
        </w:rPr>
        <w:t xml:space="preserve">Annullamento degli atti amministrativi </w:t>
      </w:r>
      <w:r w:rsidRPr="002D36A1">
        <w:rPr>
          <w:rFonts w:ascii="Times New Roman" w:hAnsi="Times New Roman"/>
        </w:rPr>
        <w:t xml:space="preserve">(voce con aggiornamenti e revisioni di G. Miele), in </w:t>
      </w:r>
      <w:r w:rsidRPr="002D36A1">
        <w:rPr>
          <w:rFonts w:ascii="Times New Roman" w:hAnsi="Times New Roman"/>
          <w:i/>
        </w:rPr>
        <w:t xml:space="preserve">Noviss. Dig. It., </w:t>
      </w:r>
      <w:r w:rsidRPr="002D36A1">
        <w:rPr>
          <w:rFonts w:ascii="Times New Roman" w:hAnsi="Times New Roman"/>
        </w:rPr>
        <w:t xml:space="preserve">I, 642 ss., spec. 643-644, (nella versione originaria è pubblicato anche in </w:t>
      </w:r>
      <w:r w:rsidRPr="002D36A1">
        <w:rPr>
          <w:rFonts w:ascii="Times New Roman" w:hAnsi="Times New Roman"/>
          <w:i/>
        </w:rPr>
        <w:t>Scritti minori,</w:t>
      </w:r>
      <w:r w:rsidRPr="002D36A1">
        <w:rPr>
          <w:rFonts w:ascii="Times New Roman" w:hAnsi="Times New Roman"/>
        </w:rPr>
        <w:t xml:space="preserve"> a cura di G. Zanobini, prima edizione Milano 1950, vol. II, 327; seconda edizione, Milano, </w:t>
      </w:r>
      <w:smartTag w:uri="urn:schemas-microsoft-com:office:smarttags" w:element="metricconverter">
        <w:smartTagPr>
          <w:attr w:name="ProductID" w:val="1990, a"/>
        </w:smartTagPr>
        <w:r w:rsidRPr="002D36A1">
          <w:rPr>
            <w:rFonts w:ascii="Times New Roman" w:hAnsi="Times New Roman"/>
          </w:rPr>
          <w:t>1990, a</w:t>
        </w:r>
      </w:smartTag>
      <w:r w:rsidRPr="002D36A1">
        <w:rPr>
          <w:rFonts w:ascii="Times New Roman" w:hAnsi="Times New Roman"/>
        </w:rPr>
        <w:t xml:space="preserve"> cura di Alberto Romano, </w:t>
      </w:r>
      <w:r w:rsidRPr="002D36A1">
        <w:rPr>
          <w:rFonts w:ascii="Times New Roman" w:hAnsi="Times New Roman"/>
          <w:i/>
        </w:rPr>
        <w:t xml:space="preserve">ibidem, </w:t>
      </w:r>
      <w:r w:rsidRPr="002D36A1">
        <w:rPr>
          <w:rFonts w:ascii="Times New Roman" w:hAnsi="Times New Roman"/>
        </w:rPr>
        <w:t xml:space="preserve">vol. II, 387 ss.); F. BENVENUTI, </w:t>
      </w:r>
      <w:r w:rsidRPr="002D36A1">
        <w:rPr>
          <w:rFonts w:ascii="Times New Roman" w:hAnsi="Times New Roman"/>
          <w:i/>
        </w:rPr>
        <w:t xml:space="preserve">Autotutela, Enc. Dir., </w:t>
      </w:r>
      <w:r w:rsidRPr="002D36A1">
        <w:rPr>
          <w:rFonts w:ascii="Times New Roman" w:hAnsi="Times New Roman"/>
        </w:rPr>
        <w:t xml:space="preserve">II, 537 ss., </w:t>
      </w:r>
      <w:r>
        <w:rPr>
          <w:rFonts w:ascii="Times New Roman" w:hAnsi="Times New Roman"/>
        </w:rPr>
        <w:t xml:space="preserve">spec. </w:t>
      </w:r>
      <w:r w:rsidRPr="002D36A1">
        <w:rPr>
          <w:rFonts w:ascii="Times New Roman" w:hAnsi="Times New Roman"/>
        </w:rPr>
        <w:t>538</w:t>
      </w:r>
      <w:r>
        <w:rPr>
          <w:rFonts w:ascii="Times New Roman" w:hAnsi="Times New Roman"/>
        </w:rPr>
        <w:t xml:space="preserve">- </w:t>
      </w:r>
      <w:r w:rsidRPr="002D36A1">
        <w:rPr>
          <w:rFonts w:ascii="Times New Roman" w:hAnsi="Times New Roman"/>
        </w:rPr>
        <w:t xml:space="preserve">544; E. CANNADA BARTOLI, </w:t>
      </w:r>
      <w:r w:rsidRPr="002D36A1">
        <w:rPr>
          <w:rFonts w:ascii="Times New Roman" w:hAnsi="Times New Roman"/>
          <w:i/>
        </w:rPr>
        <w:t xml:space="preserve">Annullabilità e annullamento (Dir. amm.), Enc. dir., </w:t>
      </w:r>
      <w:r w:rsidRPr="002D36A1">
        <w:rPr>
          <w:rFonts w:ascii="Times New Roman" w:hAnsi="Times New Roman"/>
        </w:rPr>
        <w:t xml:space="preserve">II, 484 ss., </w:t>
      </w:r>
      <w:r>
        <w:rPr>
          <w:rFonts w:ascii="Times New Roman" w:hAnsi="Times New Roman"/>
        </w:rPr>
        <w:t xml:space="preserve">spec. </w:t>
      </w:r>
      <w:r w:rsidRPr="002D36A1">
        <w:rPr>
          <w:rFonts w:ascii="Times New Roman" w:hAnsi="Times New Roman"/>
        </w:rPr>
        <w:t xml:space="preserve">488- 489. </w:t>
      </w:r>
    </w:p>
  </w:footnote>
  <w:footnote w:id="3">
    <w:p w:rsidR="000737BE" w:rsidRPr="000737BE" w:rsidRDefault="000737BE" w:rsidP="000737BE">
      <w:pPr>
        <w:pStyle w:val="Testonotaapidipagina"/>
        <w:ind w:left="567" w:right="567"/>
        <w:jc w:val="both"/>
        <w:rPr>
          <w:rFonts w:ascii="Times New Roman" w:hAnsi="Times New Roman"/>
        </w:rPr>
      </w:pPr>
      <w:r w:rsidRPr="000737BE">
        <w:rPr>
          <w:rStyle w:val="Rimandonotaapidipagina"/>
          <w:rFonts w:ascii="Times New Roman" w:hAnsi="Times New Roman"/>
        </w:rPr>
        <w:footnoteRef/>
      </w:r>
      <w:r w:rsidRPr="000737BE">
        <w:rPr>
          <w:rFonts w:ascii="Times New Roman" w:hAnsi="Times New Roman"/>
        </w:rPr>
        <w:t xml:space="preserve"> Per un inquadramento dell’azione amministrativa in senso funzionale, rispondente a interessi pubblici</w:t>
      </w:r>
      <w:r>
        <w:rPr>
          <w:rFonts w:ascii="Times New Roman" w:hAnsi="Times New Roman"/>
        </w:rPr>
        <w:t>,</w:t>
      </w:r>
      <w:r w:rsidRPr="000737BE">
        <w:rPr>
          <w:rFonts w:ascii="Times New Roman" w:hAnsi="Times New Roman"/>
        </w:rPr>
        <w:t xml:space="preserve"> assunti come fini</w:t>
      </w:r>
      <w:r>
        <w:rPr>
          <w:rFonts w:ascii="Times New Roman" w:hAnsi="Times New Roman"/>
        </w:rPr>
        <w:t xml:space="preserve"> dell’azione</w:t>
      </w:r>
      <w:r w:rsidRPr="000737BE">
        <w:rPr>
          <w:rFonts w:ascii="Times New Roman" w:hAnsi="Times New Roman"/>
        </w:rPr>
        <w:t xml:space="preserve">, v. ALB. ROMANO, </w:t>
      </w:r>
      <w:r w:rsidRPr="000737BE">
        <w:rPr>
          <w:rFonts w:ascii="Times New Roman" w:hAnsi="Times New Roman"/>
          <w:i/>
        </w:rPr>
        <w:t xml:space="preserve">Il procedimento amministrativo e il suo impatto sulla cultura giuridica italiana, </w:t>
      </w:r>
      <w:r w:rsidRPr="000737BE">
        <w:rPr>
          <w:rFonts w:ascii="Times New Roman" w:hAnsi="Times New Roman"/>
        </w:rPr>
        <w:t xml:space="preserve">in </w:t>
      </w:r>
      <w:r w:rsidRPr="000737BE">
        <w:rPr>
          <w:rFonts w:ascii="Times New Roman" w:hAnsi="Times New Roman"/>
          <w:i/>
        </w:rPr>
        <w:t xml:space="preserve">Il magistero scientifico di Aldo M. Sandulli, nel centenario della nascita </w:t>
      </w:r>
      <w:r w:rsidRPr="000737BE">
        <w:rPr>
          <w:rFonts w:ascii="Times New Roman" w:hAnsi="Times New Roman"/>
        </w:rPr>
        <w:t>(a cura di M. A. Sandulli)</w:t>
      </w:r>
      <w:r w:rsidRPr="000737BE">
        <w:rPr>
          <w:rFonts w:ascii="Times New Roman" w:hAnsi="Times New Roman"/>
          <w:i/>
        </w:rPr>
        <w:t xml:space="preserve">, </w:t>
      </w:r>
      <w:r w:rsidRPr="000737BE">
        <w:rPr>
          <w:rFonts w:ascii="Times New Roman" w:hAnsi="Times New Roman"/>
        </w:rPr>
        <w:t>Napoli, 2016, 93 ss., 110, 112.</w:t>
      </w:r>
    </w:p>
    <w:p w:rsidR="000737BE" w:rsidRPr="00E85F43" w:rsidRDefault="000737BE" w:rsidP="00E57E57">
      <w:pPr>
        <w:pStyle w:val="Testonotaapidipagina"/>
        <w:ind w:left="567" w:right="567"/>
        <w:jc w:val="both"/>
      </w:pPr>
    </w:p>
  </w:footnote>
  <w:footnote w:id="4">
    <w:p w:rsidR="00E57E57" w:rsidRPr="0063341B" w:rsidRDefault="00221166" w:rsidP="00E57E57">
      <w:pPr>
        <w:spacing w:line="240" w:lineRule="auto"/>
        <w:ind w:left="567" w:right="567"/>
        <w:jc w:val="both"/>
        <w:rPr>
          <w:rFonts w:ascii="Times New Roman" w:hAnsi="Times New Roman"/>
          <w:sz w:val="20"/>
          <w:szCs w:val="20"/>
        </w:rPr>
      </w:pPr>
      <w:r w:rsidRPr="002D36A1">
        <w:rPr>
          <w:rStyle w:val="Rimandonotaapidipagina"/>
          <w:rFonts w:ascii="Times New Roman" w:hAnsi="Times New Roman"/>
        </w:rPr>
        <w:footnoteRef/>
      </w:r>
      <w:r w:rsidRPr="002D36A1">
        <w:rPr>
          <w:rFonts w:ascii="Times New Roman" w:hAnsi="Times New Roman"/>
        </w:rPr>
        <w:t xml:space="preserve"> </w:t>
      </w:r>
      <w:r w:rsidRPr="00E57E57">
        <w:rPr>
          <w:rFonts w:ascii="Times New Roman" w:hAnsi="Times New Roman"/>
          <w:sz w:val="20"/>
          <w:szCs w:val="20"/>
        </w:rPr>
        <w:t>Così  M.</w:t>
      </w:r>
      <w:r w:rsidR="00AB24E7" w:rsidRPr="00E57E57">
        <w:rPr>
          <w:rFonts w:ascii="Times New Roman" w:hAnsi="Times New Roman"/>
          <w:sz w:val="20"/>
          <w:szCs w:val="20"/>
        </w:rPr>
        <w:t xml:space="preserve"> </w:t>
      </w:r>
      <w:r w:rsidRPr="00E57E57">
        <w:rPr>
          <w:rFonts w:ascii="Times New Roman" w:hAnsi="Times New Roman"/>
          <w:sz w:val="20"/>
          <w:szCs w:val="20"/>
        </w:rPr>
        <w:t xml:space="preserve">A. SANDULLI, </w:t>
      </w:r>
      <w:r w:rsidRPr="00E57E57">
        <w:rPr>
          <w:rFonts w:ascii="Times New Roman" w:hAnsi="Times New Roman"/>
          <w:i/>
          <w:sz w:val="20"/>
          <w:szCs w:val="20"/>
        </w:rPr>
        <w:t xml:space="preserve">Gli effetti diretti della legge 7 agosto 2015 n. 124 sulle attività economiche: le novità in tema di s.c.i.a., silenzio-assenso e autotutela, Federalismi.it, </w:t>
      </w:r>
      <w:r w:rsidRPr="00E57E57">
        <w:rPr>
          <w:rFonts w:ascii="Times New Roman" w:hAnsi="Times New Roman"/>
          <w:sz w:val="20"/>
          <w:szCs w:val="20"/>
        </w:rPr>
        <w:t xml:space="preserve">2015, n. 17, 2 ss., 13. </w:t>
      </w:r>
      <w:r w:rsidR="006A31D3">
        <w:rPr>
          <w:rFonts w:ascii="Times New Roman" w:hAnsi="Times New Roman"/>
          <w:sz w:val="20"/>
          <w:szCs w:val="20"/>
        </w:rPr>
        <w:t xml:space="preserve">D’altronde non poteva mancare un </w:t>
      </w:r>
      <w:r w:rsidR="00E57E57" w:rsidRPr="00E57E57">
        <w:rPr>
          <w:rFonts w:ascii="Times New Roman" w:hAnsi="Times New Roman"/>
          <w:sz w:val="20"/>
          <w:szCs w:val="20"/>
        </w:rPr>
        <w:t xml:space="preserve">inquadramento </w:t>
      </w:r>
      <w:r w:rsidR="00E57E57">
        <w:rPr>
          <w:rFonts w:ascii="Times New Roman" w:hAnsi="Times New Roman"/>
          <w:sz w:val="20"/>
          <w:szCs w:val="20"/>
        </w:rPr>
        <w:t>dell’autotutela</w:t>
      </w:r>
      <w:r w:rsidR="00E57E57" w:rsidRPr="00E57E57">
        <w:rPr>
          <w:rFonts w:ascii="Times New Roman" w:hAnsi="Times New Roman"/>
          <w:sz w:val="20"/>
          <w:szCs w:val="20"/>
        </w:rPr>
        <w:t xml:space="preserve"> nella nuova prospettiva aperta dalle riforme</w:t>
      </w:r>
      <w:r w:rsidR="006A31D3">
        <w:rPr>
          <w:rFonts w:ascii="Times New Roman" w:hAnsi="Times New Roman"/>
          <w:sz w:val="20"/>
          <w:szCs w:val="20"/>
        </w:rPr>
        <w:t>: v</w:t>
      </w:r>
      <w:r w:rsidR="00E57E57" w:rsidRPr="00E57E57">
        <w:rPr>
          <w:rFonts w:ascii="Times New Roman" w:hAnsi="Times New Roman"/>
          <w:sz w:val="20"/>
          <w:szCs w:val="20"/>
        </w:rPr>
        <w:t xml:space="preserve">. </w:t>
      </w:r>
      <w:r w:rsidR="00E57E57" w:rsidRPr="00E57E57">
        <w:rPr>
          <w:rFonts w:ascii="Times New Roman" w:hAnsi="Times New Roman"/>
          <w:bCs/>
          <w:iCs/>
          <w:sz w:val="20"/>
          <w:szCs w:val="20"/>
        </w:rPr>
        <w:t xml:space="preserve">F. FRANCARIO, </w:t>
      </w:r>
      <w:r w:rsidR="00E57E57" w:rsidRPr="00E57E57">
        <w:rPr>
          <w:rFonts w:ascii="Times New Roman" w:hAnsi="Times New Roman"/>
          <w:bCs/>
          <w:i/>
          <w:iCs/>
          <w:sz w:val="20"/>
          <w:szCs w:val="20"/>
        </w:rPr>
        <w:t>Autotutela amministrativa e principio di legalita’ (note a margine dell’art 6 della l. 7 agosto 2015 n.124)</w:t>
      </w:r>
      <w:r w:rsidR="00E57E57" w:rsidRPr="00E57E57">
        <w:rPr>
          <w:rFonts w:ascii="Times New Roman" w:hAnsi="Times New Roman"/>
          <w:bCs/>
          <w:iCs/>
          <w:sz w:val="20"/>
          <w:szCs w:val="20"/>
        </w:rPr>
        <w:t>,</w:t>
      </w:r>
      <w:r w:rsidR="00E57E57" w:rsidRPr="00E57E57">
        <w:rPr>
          <w:rFonts w:ascii="Times New Roman" w:hAnsi="Times New Roman"/>
          <w:bCs/>
          <w:i/>
          <w:iCs/>
          <w:sz w:val="20"/>
          <w:szCs w:val="20"/>
        </w:rPr>
        <w:t xml:space="preserve"> Federalismi.it,  </w:t>
      </w:r>
      <w:r w:rsidR="00E57E57" w:rsidRPr="00E16260">
        <w:rPr>
          <w:rFonts w:ascii="Times New Roman" w:hAnsi="Times New Roman"/>
          <w:bCs/>
          <w:iCs/>
          <w:sz w:val="20"/>
          <w:szCs w:val="20"/>
        </w:rPr>
        <w:t>n. 20/2015</w:t>
      </w:r>
      <w:r w:rsidR="006A31D3">
        <w:rPr>
          <w:rFonts w:ascii="Times New Roman" w:hAnsi="Times New Roman"/>
          <w:bCs/>
          <w:iCs/>
          <w:sz w:val="20"/>
          <w:szCs w:val="20"/>
        </w:rPr>
        <w:t>, 1 ss., spec. 4, ove si osserva che la riforma ha finito per “ridisegnare in profondità le caratteristiche e la natura dell’istituto dell’autotutela amministrativa; riconducendolo nell’alveo di un potere non (più) generalmente attribuito alla pubblica amministrazione, ma eccezionale”- donde il suggerimento per una “nuova teoresi” dell’istituto</w:t>
      </w:r>
      <w:r w:rsidR="00E57E57" w:rsidRPr="00E57E57">
        <w:rPr>
          <w:rFonts w:ascii="Times New Roman" w:hAnsi="Times New Roman"/>
          <w:bCs/>
          <w:iCs/>
          <w:sz w:val="20"/>
          <w:szCs w:val="20"/>
        </w:rPr>
        <w:t>.</w:t>
      </w:r>
    </w:p>
    <w:p w:rsidR="00221166" w:rsidRPr="00E57E57" w:rsidRDefault="00221166" w:rsidP="00AB24E7">
      <w:pPr>
        <w:pStyle w:val="Testonotaapidipagina"/>
        <w:ind w:left="567" w:right="567"/>
        <w:jc w:val="both"/>
        <w:rPr>
          <w:rFonts w:ascii="Times New Roman" w:hAnsi="Times New Roman"/>
        </w:rPr>
      </w:pPr>
    </w:p>
  </w:footnote>
  <w:footnote w:id="5">
    <w:p w:rsidR="00770A8A" w:rsidRPr="00CF3178" w:rsidRDefault="00770A8A" w:rsidP="00CF3178">
      <w:pPr>
        <w:spacing w:line="240" w:lineRule="auto"/>
        <w:ind w:left="567" w:right="567"/>
        <w:jc w:val="both"/>
        <w:rPr>
          <w:rFonts w:ascii="Times New Roman" w:hAnsi="Times New Roman"/>
          <w:sz w:val="20"/>
          <w:szCs w:val="20"/>
        </w:rPr>
      </w:pPr>
      <w:r w:rsidRPr="002D36A1">
        <w:rPr>
          <w:rStyle w:val="Rimandonotaapidipagina"/>
          <w:rFonts w:ascii="Times New Roman" w:hAnsi="Times New Roman"/>
        </w:rPr>
        <w:footnoteRef/>
      </w:r>
      <w:r w:rsidRPr="002D36A1">
        <w:rPr>
          <w:rFonts w:ascii="Times New Roman" w:hAnsi="Times New Roman"/>
        </w:rPr>
        <w:t xml:space="preserve"> </w:t>
      </w:r>
      <w:r w:rsidRPr="00CF3178">
        <w:rPr>
          <w:rFonts w:ascii="Times New Roman" w:hAnsi="Times New Roman"/>
          <w:sz w:val="20"/>
          <w:szCs w:val="20"/>
        </w:rPr>
        <w:t>Per un quadro generale</w:t>
      </w:r>
      <w:r w:rsidR="00CF3178" w:rsidRPr="00CF3178">
        <w:rPr>
          <w:rFonts w:ascii="Times New Roman" w:hAnsi="Times New Roman"/>
          <w:sz w:val="20"/>
          <w:szCs w:val="20"/>
        </w:rPr>
        <w:t xml:space="preserve"> dell’art. 21 </w:t>
      </w:r>
      <w:r w:rsidR="00CF3178" w:rsidRPr="00CF3178">
        <w:rPr>
          <w:rFonts w:ascii="Times New Roman" w:hAnsi="Times New Roman"/>
          <w:i/>
          <w:sz w:val="20"/>
          <w:szCs w:val="20"/>
        </w:rPr>
        <w:t>nonies</w:t>
      </w:r>
      <w:r w:rsidR="00CF3178" w:rsidRPr="00CF3178">
        <w:rPr>
          <w:rFonts w:ascii="Times New Roman" w:hAnsi="Times New Roman"/>
          <w:sz w:val="20"/>
          <w:szCs w:val="20"/>
        </w:rPr>
        <w:t xml:space="preserve"> </w:t>
      </w:r>
      <w:r w:rsidRPr="00CF3178">
        <w:rPr>
          <w:rFonts w:ascii="Times New Roman" w:hAnsi="Times New Roman"/>
          <w:sz w:val="20"/>
          <w:szCs w:val="20"/>
        </w:rPr>
        <w:t xml:space="preserve">v. F. COSTANTINO, </w:t>
      </w:r>
      <w:r w:rsidRPr="00CF3178">
        <w:rPr>
          <w:rFonts w:ascii="Times New Roman" w:hAnsi="Times New Roman"/>
          <w:i/>
          <w:sz w:val="20"/>
          <w:szCs w:val="20"/>
        </w:rPr>
        <w:t xml:space="preserve">L’annullamento d’ufficio del provvedimento, </w:t>
      </w:r>
      <w:r w:rsidRPr="00CF3178">
        <w:rPr>
          <w:rFonts w:ascii="Times New Roman" w:hAnsi="Times New Roman"/>
          <w:sz w:val="20"/>
          <w:szCs w:val="20"/>
        </w:rPr>
        <w:t xml:space="preserve"> in ALB. ROMANO (a cura di), </w:t>
      </w:r>
      <w:r w:rsidRPr="00CF3178">
        <w:rPr>
          <w:rFonts w:ascii="Times New Roman" w:hAnsi="Times New Roman"/>
          <w:i/>
          <w:sz w:val="20"/>
          <w:szCs w:val="20"/>
        </w:rPr>
        <w:t xml:space="preserve">L’azione amministrativa, </w:t>
      </w:r>
      <w:r w:rsidRPr="00CF3178">
        <w:rPr>
          <w:rFonts w:ascii="Times New Roman" w:hAnsi="Times New Roman"/>
          <w:sz w:val="20"/>
          <w:szCs w:val="20"/>
        </w:rPr>
        <w:t xml:space="preserve">Torino, 2016, 869 ss. Una buona ricostruzione è nell’opera di S. D’ANCONA, </w:t>
      </w:r>
      <w:r w:rsidRPr="00CF3178">
        <w:rPr>
          <w:rFonts w:ascii="Times New Roman" w:hAnsi="Times New Roman"/>
          <w:i/>
          <w:sz w:val="20"/>
          <w:szCs w:val="20"/>
        </w:rPr>
        <w:t xml:space="preserve">L’annullamento d’ufficio tra vincoli e discrezionalità, </w:t>
      </w:r>
      <w:r w:rsidRPr="00CF3178">
        <w:rPr>
          <w:rFonts w:ascii="Times New Roman" w:hAnsi="Times New Roman"/>
          <w:sz w:val="20"/>
          <w:szCs w:val="20"/>
        </w:rPr>
        <w:t xml:space="preserve">Napoli, 2015, spec. 32 ss, ove si legge un’accurata analisi delle dottrine classiche, considerate come punto di partenza per l’inquadramento dell’annullamento d’ufficio; vi si aggiunge infine l’idea che la norma dell’art. 21 </w:t>
      </w:r>
      <w:r w:rsidRPr="00CF3178">
        <w:rPr>
          <w:rFonts w:ascii="Times New Roman" w:hAnsi="Times New Roman"/>
          <w:i/>
          <w:sz w:val="20"/>
          <w:szCs w:val="20"/>
        </w:rPr>
        <w:t>nonies</w:t>
      </w:r>
      <w:r w:rsidRPr="00CF3178">
        <w:rPr>
          <w:rFonts w:ascii="Times New Roman" w:hAnsi="Times New Roman"/>
          <w:sz w:val="20"/>
          <w:szCs w:val="20"/>
        </w:rPr>
        <w:t xml:space="preserve"> abbia lasciato indefinito l’interesse pubblico all’annullamento e che la tesi preferibile sia quella di ritenere che l’interesse all’annullamento sia quello implicito nella funzione di amministrazione attiva. Attualmente, </w:t>
      </w:r>
      <w:r w:rsidR="00AB24E7" w:rsidRPr="00CF3178">
        <w:rPr>
          <w:rFonts w:ascii="Times New Roman" w:hAnsi="Times New Roman"/>
          <w:sz w:val="20"/>
          <w:szCs w:val="20"/>
        </w:rPr>
        <w:t xml:space="preserve">per </w:t>
      </w:r>
      <w:r w:rsidRPr="00CF3178">
        <w:rPr>
          <w:rFonts w:ascii="Times New Roman" w:hAnsi="Times New Roman"/>
          <w:sz w:val="20"/>
          <w:szCs w:val="20"/>
        </w:rPr>
        <w:t xml:space="preserve">un’efficace lettura dell’autotutela nella riforme </w:t>
      </w:r>
      <w:r w:rsidR="00CF3178">
        <w:rPr>
          <w:rFonts w:ascii="Times New Roman" w:hAnsi="Times New Roman"/>
          <w:sz w:val="20"/>
          <w:szCs w:val="20"/>
        </w:rPr>
        <w:t xml:space="preserve">e alla stregua del principio di legalità </w:t>
      </w:r>
      <w:r w:rsidR="00AB24E7" w:rsidRPr="00CF3178">
        <w:rPr>
          <w:rFonts w:ascii="Times New Roman" w:hAnsi="Times New Roman"/>
          <w:sz w:val="20"/>
          <w:szCs w:val="20"/>
        </w:rPr>
        <w:t xml:space="preserve">v. </w:t>
      </w:r>
      <w:r w:rsidR="00CF3178" w:rsidRPr="00CF3178">
        <w:rPr>
          <w:rFonts w:ascii="Times New Roman" w:hAnsi="Times New Roman"/>
          <w:bCs/>
          <w:iCs/>
          <w:sz w:val="20"/>
          <w:szCs w:val="20"/>
        </w:rPr>
        <w:t xml:space="preserve">F. FRANCARIO, </w:t>
      </w:r>
      <w:r w:rsidR="00CF3178" w:rsidRPr="00CF3178">
        <w:rPr>
          <w:rFonts w:ascii="Times New Roman" w:hAnsi="Times New Roman"/>
          <w:bCs/>
          <w:i/>
          <w:iCs/>
          <w:sz w:val="20"/>
          <w:szCs w:val="20"/>
        </w:rPr>
        <w:t>Autotutela amministrativa e principio di legalita’ (note a margine dell’art 6 della l. 7 agosto 2015 n.124)</w:t>
      </w:r>
      <w:r w:rsidR="008C422E">
        <w:rPr>
          <w:rFonts w:ascii="Times New Roman" w:hAnsi="Times New Roman"/>
          <w:bCs/>
          <w:i/>
          <w:iCs/>
          <w:sz w:val="20"/>
          <w:szCs w:val="20"/>
        </w:rPr>
        <w:t xml:space="preserve">… </w:t>
      </w:r>
      <w:r w:rsidR="008C422E">
        <w:rPr>
          <w:rFonts w:ascii="Times New Roman" w:hAnsi="Times New Roman"/>
          <w:bCs/>
          <w:iCs/>
          <w:sz w:val="20"/>
          <w:szCs w:val="20"/>
        </w:rPr>
        <w:t>cit., 4</w:t>
      </w:r>
      <w:r w:rsidR="008B064D">
        <w:rPr>
          <w:rFonts w:ascii="Times New Roman" w:hAnsi="Times New Roman"/>
          <w:bCs/>
          <w:iCs/>
          <w:sz w:val="20"/>
          <w:szCs w:val="20"/>
        </w:rPr>
        <w:t>.</w:t>
      </w:r>
    </w:p>
  </w:footnote>
  <w:footnote w:id="6">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E’ una tendenza che sembra sottintesa a tutta la sistematica novecentesca dell’azione amministrativa e attraversandola finisce per cambiarla:</w:t>
      </w:r>
      <w:r w:rsidR="00AB24E7">
        <w:rPr>
          <w:rFonts w:ascii="Times New Roman" w:hAnsi="Times New Roman"/>
        </w:rPr>
        <w:t xml:space="preserve"> cfr. </w:t>
      </w:r>
      <w:r w:rsidRPr="002D36A1">
        <w:rPr>
          <w:rFonts w:ascii="Times New Roman" w:hAnsi="Times New Roman"/>
        </w:rPr>
        <w:t xml:space="preserve">A. ROMANO TASSONE, </w:t>
      </w:r>
      <w:r w:rsidRPr="002D36A1">
        <w:rPr>
          <w:rFonts w:ascii="Times New Roman" w:hAnsi="Times New Roman"/>
          <w:i/>
          <w:iCs/>
        </w:rPr>
        <w:t xml:space="preserve">Motivazione dei provvedimenti amministrativi e sindacato di legittimità, </w:t>
      </w:r>
      <w:r w:rsidRPr="002D36A1">
        <w:rPr>
          <w:rFonts w:ascii="Times New Roman" w:hAnsi="Times New Roman"/>
          <w:iCs/>
        </w:rPr>
        <w:t xml:space="preserve">Milano, 1987, </w:t>
      </w:r>
      <w:r w:rsidRPr="002D36A1">
        <w:rPr>
          <w:rFonts w:ascii="Times New Roman" w:hAnsi="Times New Roman"/>
        </w:rPr>
        <w:t>29 e poi 259 ss.</w:t>
      </w:r>
    </w:p>
  </w:footnote>
  <w:footnote w:id="7">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w:t>
      </w:r>
      <w:r w:rsidR="002B592A">
        <w:rPr>
          <w:rFonts w:ascii="Times New Roman" w:hAnsi="Times New Roman"/>
        </w:rPr>
        <w:t xml:space="preserve"> I</w:t>
      </w:r>
      <w:r w:rsidRPr="002D36A1">
        <w:rPr>
          <w:rFonts w:ascii="Times New Roman" w:hAnsi="Times New Roman"/>
        </w:rPr>
        <w:t>l riferimento a un “valore costituzionale assoluto</w:t>
      </w:r>
      <w:r w:rsidR="002B592A">
        <w:rPr>
          <w:rFonts w:ascii="Times New Roman" w:hAnsi="Times New Roman"/>
        </w:rPr>
        <w:t xml:space="preserve">” o a una ragione superiore che imponga varianti urbanistiche, misure di salvaguardia o dinieghi di compatibilità del nulla osta paesistico è a </w:t>
      </w:r>
      <w:r w:rsidRPr="002D36A1">
        <w:rPr>
          <w:rFonts w:ascii="Times New Roman" w:hAnsi="Times New Roman"/>
        </w:rPr>
        <w:t>Cons. St., sez. IV, n. 4907/2002</w:t>
      </w:r>
      <w:r w:rsidR="002B592A">
        <w:rPr>
          <w:rFonts w:ascii="Times New Roman" w:hAnsi="Times New Roman"/>
        </w:rPr>
        <w:t xml:space="preserve"> e a decisioni di simile tenore: </w:t>
      </w:r>
      <w:r w:rsidRPr="002D36A1">
        <w:rPr>
          <w:rFonts w:ascii="Times New Roman" w:hAnsi="Times New Roman"/>
        </w:rPr>
        <w:t>Cons. St., sez. VI, n. 1034/2014</w:t>
      </w:r>
      <w:r w:rsidR="002B592A">
        <w:rPr>
          <w:rFonts w:ascii="Times New Roman" w:hAnsi="Times New Roman"/>
        </w:rPr>
        <w:t xml:space="preserve">, </w:t>
      </w:r>
      <w:r w:rsidRPr="002D36A1">
        <w:rPr>
          <w:rFonts w:ascii="Times New Roman" w:hAnsi="Times New Roman"/>
        </w:rPr>
        <w:t xml:space="preserve">Cons. St., sez. VI, 10 maggio 2013, n. 2535; Cons. St., sez. VI, 18 gennaio 2012, n. 173; </w:t>
      </w:r>
      <w:r w:rsidR="00AB24E7" w:rsidRPr="002D36A1">
        <w:rPr>
          <w:rFonts w:ascii="Times New Roman" w:hAnsi="Times New Roman"/>
        </w:rPr>
        <w:t>Cons. St., sez. VI</w:t>
      </w:r>
      <w:r w:rsidRPr="002D36A1">
        <w:rPr>
          <w:rFonts w:ascii="Times New Roman" w:hAnsi="Times New Roman"/>
        </w:rPr>
        <w:t xml:space="preserve">, 28 dicembre 2011, n. 6885; </w:t>
      </w:r>
      <w:r w:rsidR="00AB24E7" w:rsidRPr="002D36A1">
        <w:rPr>
          <w:rFonts w:ascii="Times New Roman" w:hAnsi="Times New Roman"/>
        </w:rPr>
        <w:t>Cons. St., sez. VI</w:t>
      </w:r>
      <w:r w:rsidRPr="002D36A1">
        <w:rPr>
          <w:rFonts w:ascii="Times New Roman" w:hAnsi="Times New Roman"/>
        </w:rPr>
        <w:t>, 21 settembre 2011, n. 5292</w:t>
      </w:r>
      <w:r w:rsidR="002B592A">
        <w:rPr>
          <w:rFonts w:ascii="Times New Roman" w:hAnsi="Times New Roman"/>
        </w:rPr>
        <w:t xml:space="preserve">, Cons. St., sez. IV, n. 1339 /2016; il riferimento all’interesse finanziario prevalente è a </w:t>
      </w:r>
      <w:r w:rsidR="002B592A" w:rsidRPr="002D36A1">
        <w:rPr>
          <w:rFonts w:ascii="Times New Roman" w:hAnsi="Times New Roman"/>
        </w:rPr>
        <w:t>Cons. St. sez. V, n. 1056/2016</w:t>
      </w:r>
      <w:r w:rsidR="002B592A">
        <w:rPr>
          <w:rFonts w:ascii="Times New Roman" w:hAnsi="Times New Roman"/>
        </w:rPr>
        <w:t xml:space="preserve">; il riferimento alle esigenze di altri ordinamenti è a </w:t>
      </w:r>
      <w:r w:rsidR="002B592A" w:rsidRPr="002D36A1">
        <w:rPr>
          <w:rFonts w:ascii="Times New Roman" w:hAnsi="Times New Roman"/>
        </w:rPr>
        <w:t>Tar Basilicata, sez. I, n. 456/2010</w:t>
      </w:r>
      <w:r w:rsidR="002B592A">
        <w:rPr>
          <w:rFonts w:ascii="Times New Roman" w:hAnsi="Times New Roman"/>
        </w:rPr>
        <w:t>, in tema di misure cautelari del giudice penale</w:t>
      </w:r>
      <w:r w:rsidR="0031601A" w:rsidRPr="002D36A1">
        <w:rPr>
          <w:rFonts w:ascii="Times New Roman" w:hAnsi="Times New Roman"/>
        </w:rPr>
        <w:t>.</w:t>
      </w:r>
      <w:r w:rsidRPr="002D36A1">
        <w:rPr>
          <w:rFonts w:ascii="Times New Roman" w:hAnsi="Times New Roman"/>
        </w:rPr>
        <w:t xml:space="preserve"> </w:t>
      </w:r>
    </w:p>
  </w:footnote>
  <w:footnote w:id="8">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In particolare cfr. F. MERUSI, </w:t>
      </w:r>
      <w:r w:rsidRPr="002D36A1">
        <w:rPr>
          <w:rFonts w:ascii="Times New Roman" w:hAnsi="Times New Roman"/>
          <w:i/>
        </w:rPr>
        <w:t xml:space="preserve">Interessi pubblici e privati dopo le recenti riforme, Dir. amm., </w:t>
      </w:r>
      <w:r w:rsidRPr="002D36A1">
        <w:rPr>
          <w:rFonts w:ascii="Times New Roman" w:hAnsi="Times New Roman"/>
        </w:rPr>
        <w:t xml:space="preserve">1993, 21 ss., 23-24; F. LEDDA, </w:t>
      </w:r>
      <w:r w:rsidRPr="002D36A1">
        <w:rPr>
          <w:rFonts w:ascii="Times New Roman" w:hAnsi="Times New Roman"/>
          <w:i/>
        </w:rPr>
        <w:t xml:space="preserve">Problema amministrativo e partecipazione al procedimento, Dir. amm., </w:t>
      </w:r>
      <w:r w:rsidRPr="002D36A1">
        <w:rPr>
          <w:rFonts w:ascii="Times New Roman" w:hAnsi="Times New Roman"/>
        </w:rPr>
        <w:t xml:space="preserve">1993, 133 ss., 142, 152-153; E. CASETTA, </w:t>
      </w:r>
      <w:r w:rsidRPr="002D36A1">
        <w:rPr>
          <w:rFonts w:ascii="Times New Roman" w:hAnsi="Times New Roman"/>
          <w:i/>
        </w:rPr>
        <w:t xml:space="preserve">Profili della evoluzione dei rapporti tra cittadini e pubblica amministrazione, Dir. amm., </w:t>
      </w:r>
      <w:r w:rsidRPr="002D36A1">
        <w:rPr>
          <w:rFonts w:ascii="Times New Roman" w:hAnsi="Times New Roman"/>
        </w:rPr>
        <w:t xml:space="preserve">1993, 3 ss.6, 8-9; F. FRACCHIA, </w:t>
      </w:r>
      <w:r w:rsidRPr="002D36A1">
        <w:rPr>
          <w:rFonts w:ascii="Times New Roman" w:hAnsi="Times New Roman"/>
          <w:i/>
        </w:rPr>
        <w:t xml:space="preserve">Manifestazioni di interessi del privato e procedimento amministrativo, Dir. amm., </w:t>
      </w:r>
      <w:r w:rsidRPr="002D36A1">
        <w:rPr>
          <w:rFonts w:ascii="Times New Roman" w:hAnsi="Times New Roman"/>
        </w:rPr>
        <w:t xml:space="preserve">1996, spec. 42-50;  e di recente N. PAOLANTONIO, </w:t>
      </w:r>
      <w:r w:rsidRPr="002D36A1">
        <w:rPr>
          <w:rFonts w:ascii="Times New Roman" w:hAnsi="Times New Roman"/>
          <w:i/>
        </w:rPr>
        <w:t xml:space="preserve">Esistenza dell’interesse legittimo? (Rileggendo Franco Ledda), Dir. amm., </w:t>
      </w:r>
      <w:r w:rsidRPr="002D36A1">
        <w:rPr>
          <w:rFonts w:ascii="Times New Roman" w:hAnsi="Times New Roman"/>
        </w:rPr>
        <w:t xml:space="preserve">2015, 1 ss., 45.  </w:t>
      </w:r>
    </w:p>
  </w:footnote>
  <w:footnote w:id="9">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w:t>
      </w:r>
      <w:r w:rsidR="0031601A" w:rsidRPr="002D36A1">
        <w:rPr>
          <w:rFonts w:ascii="Times New Roman" w:hAnsi="Times New Roman"/>
        </w:rPr>
        <w:t xml:space="preserve">cfr. </w:t>
      </w:r>
      <w:r w:rsidRPr="002D36A1">
        <w:rPr>
          <w:rFonts w:ascii="Times New Roman" w:hAnsi="Times New Roman"/>
        </w:rPr>
        <w:t>R.</w:t>
      </w:r>
      <w:r w:rsidR="0031601A" w:rsidRPr="002D36A1">
        <w:rPr>
          <w:rFonts w:ascii="Times New Roman" w:hAnsi="Times New Roman"/>
        </w:rPr>
        <w:t xml:space="preserve"> </w:t>
      </w:r>
      <w:r w:rsidRPr="002D36A1">
        <w:rPr>
          <w:rFonts w:ascii="Times New Roman" w:hAnsi="Times New Roman"/>
        </w:rPr>
        <w:t xml:space="preserve">CAVALLO PERIN, </w:t>
      </w:r>
      <w:r w:rsidRPr="002D36A1">
        <w:rPr>
          <w:rFonts w:ascii="Times New Roman" w:hAnsi="Times New Roman"/>
          <w:i/>
        </w:rPr>
        <w:t xml:space="preserve">L’elaborazione dell’atto d’autorità in Francia, </w:t>
      </w:r>
      <w:r w:rsidRPr="002D36A1">
        <w:rPr>
          <w:rFonts w:ascii="Times New Roman" w:hAnsi="Times New Roman"/>
        </w:rPr>
        <w:t xml:space="preserve">in </w:t>
      </w:r>
      <w:r w:rsidRPr="002D36A1">
        <w:rPr>
          <w:rFonts w:ascii="Times New Roman" w:hAnsi="Times New Roman"/>
          <w:i/>
        </w:rPr>
        <w:t xml:space="preserve">L’atto autoritativo. Convergenze e divergenze tra ordinamenti. Associazione italiana dei professori di diritto amministrativo. Annuario 2011, </w:t>
      </w:r>
      <w:r w:rsidRPr="002D36A1">
        <w:rPr>
          <w:rFonts w:ascii="Times New Roman" w:hAnsi="Times New Roman"/>
        </w:rPr>
        <w:t xml:space="preserve">Napoli, 2012, 265 ss., 280: “La nozione di </w:t>
      </w:r>
      <w:r w:rsidRPr="002D36A1">
        <w:rPr>
          <w:rFonts w:ascii="Times New Roman" w:hAnsi="Times New Roman"/>
          <w:i/>
        </w:rPr>
        <w:t xml:space="preserve">funzione </w:t>
      </w:r>
      <w:r w:rsidRPr="002D36A1">
        <w:rPr>
          <w:rFonts w:ascii="Times New Roman" w:hAnsi="Times New Roman"/>
        </w:rPr>
        <w:t>è la naturale conclusione dell’affermazione dell’interesse pubblico come fine essenziale dei pubblici poteri</w:t>
      </w:r>
      <w:r w:rsidR="0031601A" w:rsidRPr="002D36A1">
        <w:rPr>
          <w:rFonts w:ascii="Times New Roman" w:hAnsi="Times New Roman"/>
        </w:rPr>
        <w:t>,</w:t>
      </w:r>
      <w:r w:rsidRPr="002D36A1">
        <w:rPr>
          <w:rFonts w:ascii="Times New Roman" w:hAnsi="Times New Roman"/>
        </w:rPr>
        <w:t xml:space="preserve"> poiché la parola </w:t>
      </w:r>
      <w:r w:rsidRPr="002D36A1">
        <w:rPr>
          <w:rFonts w:ascii="Times New Roman" w:hAnsi="Times New Roman"/>
          <w:i/>
        </w:rPr>
        <w:t>funzione</w:t>
      </w:r>
      <w:r w:rsidRPr="002D36A1">
        <w:rPr>
          <w:rFonts w:ascii="Times New Roman" w:hAnsi="Times New Roman"/>
        </w:rPr>
        <w:t xml:space="preserve"> nega che gli stessi possano essere utilizzati per la cura di interessi propri della persona giuridica pubblica amministrazione.”</w:t>
      </w:r>
    </w:p>
  </w:footnote>
  <w:footnote w:id="10">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cfr. SANTI ROMANO, </w:t>
      </w:r>
      <w:r w:rsidRPr="002D36A1">
        <w:rPr>
          <w:rFonts w:ascii="Times New Roman" w:hAnsi="Times New Roman"/>
          <w:i/>
        </w:rPr>
        <w:t xml:space="preserve">Annullamento degli atti amministrativi … </w:t>
      </w:r>
      <w:r w:rsidRPr="002D36A1">
        <w:rPr>
          <w:rFonts w:ascii="Times New Roman" w:hAnsi="Times New Roman"/>
        </w:rPr>
        <w:t xml:space="preserve">cit., spec. 643-644, ove parla di rispondenza ai “fini dell’Amministrazione”, alle “finalità essenziali dell’ente” e le attrae al merito”, nonché F. BENVENUTI, </w:t>
      </w:r>
      <w:r w:rsidRPr="002D36A1">
        <w:rPr>
          <w:rFonts w:ascii="Times New Roman" w:hAnsi="Times New Roman"/>
          <w:i/>
        </w:rPr>
        <w:t>Autotutela</w:t>
      </w:r>
      <w:r w:rsidR="0031601A" w:rsidRPr="002D36A1">
        <w:rPr>
          <w:rFonts w:ascii="Times New Roman" w:hAnsi="Times New Roman"/>
          <w:i/>
        </w:rPr>
        <w:t xml:space="preserve"> … </w:t>
      </w:r>
      <w:r w:rsidR="0031601A" w:rsidRPr="002D36A1">
        <w:rPr>
          <w:rFonts w:ascii="Times New Roman" w:hAnsi="Times New Roman"/>
        </w:rPr>
        <w:t xml:space="preserve"> cit., </w:t>
      </w:r>
      <w:r w:rsidRPr="002D36A1">
        <w:rPr>
          <w:rFonts w:ascii="Times New Roman" w:hAnsi="Times New Roman"/>
        </w:rPr>
        <w:t>538, 544, ove parla di autotutela  “immanente”.</w:t>
      </w:r>
    </w:p>
  </w:footnote>
  <w:footnote w:id="11">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Così F. BENVENUTI, </w:t>
      </w:r>
      <w:r w:rsidRPr="002D36A1">
        <w:rPr>
          <w:rFonts w:ascii="Times New Roman" w:hAnsi="Times New Roman"/>
          <w:i/>
        </w:rPr>
        <w:t>Questioni  in tema di nomina invalida di pubblico impiegato, Cons.</w:t>
      </w:r>
      <w:r w:rsidR="00332BDF">
        <w:rPr>
          <w:rFonts w:ascii="Times New Roman" w:hAnsi="Times New Roman"/>
          <w:i/>
        </w:rPr>
        <w:t xml:space="preserve"> </w:t>
      </w:r>
      <w:r w:rsidRPr="002D36A1">
        <w:rPr>
          <w:rFonts w:ascii="Times New Roman" w:hAnsi="Times New Roman"/>
          <w:i/>
        </w:rPr>
        <w:t xml:space="preserve">St., </w:t>
      </w:r>
      <w:r w:rsidRPr="002D36A1">
        <w:rPr>
          <w:rFonts w:ascii="Times New Roman" w:hAnsi="Times New Roman"/>
        </w:rPr>
        <w:t xml:space="preserve">1957, II, 119, 123. </w:t>
      </w:r>
      <w:r w:rsidRPr="002D36A1">
        <w:rPr>
          <w:rFonts w:ascii="Times New Roman" w:hAnsi="Times New Roman"/>
          <w:i/>
        </w:rPr>
        <w:t xml:space="preserve">   </w:t>
      </w:r>
      <w:r w:rsidRPr="002D36A1">
        <w:rPr>
          <w:rFonts w:ascii="Times New Roman" w:hAnsi="Times New Roman"/>
        </w:rPr>
        <w:t xml:space="preserve"> </w:t>
      </w:r>
    </w:p>
  </w:footnote>
  <w:footnote w:id="12">
    <w:p w:rsidR="002064CD" w:rsidRPr="002D36A1" w:rsidRDefault="002064CD"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w:t>
      </w:r>
      <w:r w:rsidR="00332BDF">
        <w:rPr>
          <w:rFonts w:ascii="Times New Roman" w:hAnsi="Times New Roman"/>
        </w:rPr>
        <w:t xml:space="preserve">Per il richiamo alla </w:t>
      </w:r>
      <w:r w:rsidRPr="002D36A1">
        <w:rPr>
          <w:rFonts w:ascii="Times New Roman" w:hAnsi="Times New Roman"/>
        </w:rPr>
        <w:t>prospettiva</w:t>
      </w:r>
      <w:r w:rsidR="00332BDF">
        <w:rPr>
          <w:rFonts w:ascii="Times New Roman" w:hAnsi="Times New Roman"/>
        </w:rPr>
        <w:t xml:space="preserve"> del soggetto</w:t>
      </w:r>
      <w:r w:rsidRPr="002D36A1">
        <w:rPr>
          <w:rFonts w:ascii="Times New Roman" w:hAnsi="Times New Roman"/>
        </w:rPr>
        <w:t xml:space="preserve"> </w:t>
      </w:r>
      <w:r w:rsidR="00C81FE7" w:rsidRPr="002D36A1">
        <w:rPr>
          <w:rFonts w:ascii="Times New Roman" w:hAnsi="Times New Roman"/>
        </w:rPr>
        <w:t xml:space="preserve">cfr. </w:t>
      </w:r>
      <w:r w:rsidRPr="002D36A1">
        <w:rPr>
          <w:rFonts w:ascii="Times New Roman" w:hAnsi="Times New Roman"/>
        </w:rPr>
        <w:t xml:space="preserve">B. </w:t>
      </w:r>
      <w:r w:rsidR="00C81FE7" w:rsidRPr="002D36A1">
        <w:rPr>
          <w:rFonts w:ascii="Times New Roman" w:hAnsi="Times New Roman"/>
        </w:rPr>
        <w:t xml:space="preserve">G. </w:t>
      </w:r>
      <w:r w:rsidRPr="002D36A1">
        <w:rPr>
          <w:rFonts w:ascii="Times New Roman" w:hAnsi="Times New Roman"/>
        </w:rPr>
        <w:t xml:space="preserve">MATTARELLA, </w:t>
      </w:r>
      <w:r w:rsidRPr="002D36A1">
        <w:rPr>
          <w:rFonts w:ascii="Times New Roman" w:hAnsi="Times New Roman"/>
          <w:i/>
        </w:rPr>
        <w:t>Autotutela amministrativa</w:t>
      </w:r>
      <w:r w:rsidR="00CB49C9">
        <w:rPr>
          <w:rFonts w:ascii="Times New Roman" w:hAnsi="Times New Roman"/>
          <w:i/>
        </w:rPr>
        <w:t xml:space="preserve"> e principio di legalità, Riv. i</w:t>
      </w:r>
      <w:r w:rsidRPr="002D36A1">
        <w:rPr>
          <w:rFonts w:ascii="Times New Roman" w:hAnsi="Times New Roman"/>
          <w:i/>
        </w:rPr>
        <w:t xml:space="preserve">t. </w:t>
      </w:r>
      <w:r w:rsidR="00D84681">
        <w:rPr>
          <w:rFonts w:ascii="Times New Roman" w:hAnsi="Times New Roman"/>
          <w:i/>
        </w:rPr>
        <w:t>d</w:t>
      </w:r>
      <w:r w:rsidRPr="002D36A1">
        <w:rPr>
          <w:rFonts w:ascii="Times New Roman" w:hAnsi="Times New Roman"/>
          <w:i/>
        </w:rPr>
        <w:t xml:space="preserve">ir. pubbl. comunitario, </w:t>
      </w:r>
      <w:r w:rsidRPr="002D36A1">
        <w:rPr>
          <w:rFonts w:ascii="Times New Roman" w:hAnsi="Times New Roman"/>
        </w:rPr>
        <w:t xml:space="preserve"> 2007, 1223 ss., 1228: la possibilità dell’autotutela può dipendere dal “fatto che l’interesse, di cui un certo soggetto è portatore, è tutelato in modo particolarmente forte dall’ordinamento”.  </w:t>
      </w:r>
    </w:p>
  </w:footnote>
  <w:footnote w:id="13">
    <w:p w:rsidR="008B064D" w:rsidRDefault="008B064D" w:rsidP="008B064D">
      <w:pPr>
        <w:pStyle w:val="Testonotaapidipagina"/>
        <w:ind w:left="567" w:right="567"/>
        <w:jc w:val="both"/>
      </w:pPr>
      <w:r w:rsidRPr="008B064D">
        <w:rPr>
          <w:rStyle w:val="Rimandonotaapidipagina"/>
          <w:rFonts w:ascii="Times New Roman" w:hAnsi="Times New Roman"/>
        </w:rPr>
        <w:footnoteRef/>
      </w:r>
      <w:r w:rsidRPr="008B064D">
        <w:rPr>
          <w:rFonts w:ascii="Times New Roman" w:hAnsi="Times New Roman"/>
        </w:rPr>
        <w:t xml:space="preserve"> </w:t>
      </w:r>
      <w:r>
        <w:rPr>
          <w:rFonts w:ascii="Times New Roman" w:hAnsi="Times New Roman"/>
        </w:rPr>
        <w:t xml:space="preserve">Un quadro attuale è </w:t>
      </w:r>
      <w:r w:rsidRPr="008B064D">
        <w:rPr>
          <w:rFonts w:ascii="Times New Roman" w:hAnsi="Times New Roman"/>
        </w:rPr>
        <w:t xml:space="preserve">in </w:t>
      </w:r>
      <w:r w:rsidRPr="00CF3178">
        <w:rPr>
          <w:rFonts w:ascii="Times New Roman" w:hAnsi="Times New Roman"/>
        </w:rPr>
        <w:t xml:space="preserve">M. MACCHIA, </w:t>
      </w:r>
      <w:r w:rsidRPr="00CF3178">
        <w:rPr>
          <w:rFonts w:ascii="Times New Roman" w:hAnsi="Times New Roman"/>
          <w:i/>
        </w:rPr>
        <w:t xml:space="preserve">Sui poteri di autotutela: una riforma in senso giustiziale, Giornale di Dir. amm., </w:t>
      </w:r>
      <w:r w:rsidRPr="00CF3178">
        <w:rPr>
          <w:rFonts w:ascii="Times New Roman" w:hAnsi="Times New Roman"/>
        </w:rPr>
        <w:t>2015, 634 ss., 638</w:t>
      </w:r>
      <w:r>
        <w:rPr>
          <w:rFonts w:ascii="Times New Roman" w:hAnsi="Times New Roman"/>
        </w:rPr>
        <w:t>.</w:t>
      </w:r>
    </w:p>
  </w:footnote>
  <w:footnote w:id="14">
    <w:p w:rsidR="00770A8A" w:rsidRPr="002D36A1" w:rsidRDefault="00770A8A"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Oltre alla decisione citata</w:t>
      </w:r>
      <w:r w:rsidR="00AB24E7">
        <w:rPr>
          <w:rFonts w:ascii="Times New Roman" w:hAnsi="Times New Roman"/>
        </w:rPr>
        <w:t xml:space="preserve"> nel testo</w:t>
      </w:r>
      <w:r w:rsidRPr="002D36A1">
        <w:rPr>
          <w:rFonts w:ascii="Times New Roman" w:hAnsi="Times New Roman"/>
        </w:rPr>
        <w:t xml:space="preserve">, v. per esempio Cons. St., sez. V, n. 592/2010, con nota di R. PERTICARARI, </w:t>
      </w:r>
      <w:r w:rsidRPr="002D36A1">
        <w:rPr>
          <w:rFonts w:ascii="Times New Roman" w:hAnsi="Times New Roman"/>
          <w:i/>
        </w:rPr>
        <w:t>Annullamento  in vi</w:t>
      </w:r>
      <w:r w:rsidR="00AB24E7">
        <w:rPr>
          <w:rFonts w:ascii="Times New Roman" w:hAnsi="Times New Roman"/>
          <w:i/>
        </w:rPr>
        <w:t>a</w:t>
      </w:r>
      <w:r w:rsidRPr="002D36A1">
        <w:rPr>
          <w:rFonts w:ascii="Times New Roman" w:hAnsi="Times New Roman"/>
          <w:i/>
        </w:rPr>
        <w:t xml:space="preserve"> di autotutela e interesse pubblico, </w:t>
      </w:r>
      <w:r w:rsidRPr="002D36A1">
        <w:rPr>
          <w:rFonts w:ascii="Times New Roman" w:hAnsi="Times New Roman"/>
        </w:rPr>
        <w:t xml:space="preserve"> in </w:t>
      </w:r>
      <w:r w:rsidRPr="002D36A1">
        <w:rPr>
          <w:rFonts w:ascii="Times New Roman" w:hAnsi="Times New Roman"/>
          <w:i/>
        </w:rPr>
        <w:t>Urb e app.,</w:t>
      </w:r>
      <w:r w:rsidRPr="002D36A1">
        <w:rPr>
          <w:rFonts w:ascii="Times New Roman" w:hAnsi="Times New Roman"/>
        </w:rPr>
        <w:t xml:space="preserve"> 2010, 714 ss., ove acquista grande peso il comportamento del soggetto privato e il suo affidamento, da considerare “per principio”. </w:t>
      </w:r>
    </w:p>
  </w:footnote>
  <w:footnote w:id="15">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Per questo modo di vedere l’interesse pubblico v. anche Cons. St. sez. V, n. 1056/2016, ove l’interesse finanziario all’annullamento d’ufficio</w:t>
      </w:r>
      <w:r w:rsidR="00332BDF">
        <w:rPr>
          <w:rFonts w:ascii="Times New Roman" w:hAnsi="Times New Roman"/>
        </w:rPr>
        <w:t xml:space="preserve"> di un’aggiudicazione di un servizio rappresenta </w:t>
      </w:r>
      <w:r w:rsidRPr="002D36A1">
        <w:rPr>
          <w:rFonts w:ascii="Times New Roman" w:hAnsi="Times New Roman"/>
        </w:rPr>
        <w:t xml:space="preserve">un risparmio di spesa così alto da </w:t>
      </w:r>
      <w:r w:rsidR="00332BDF">
        <w:rPr>
          <w:rFonts w:ascii="Times New Roman" w:hAnsi="Times New Roman"/>
        </w:rPr>
        <w:t xml:space="preserve">poter ricadere </w:t>
      </w:r>
      <w:r w:rsidRPr="002D36A1">
        <w:rPr>
          <w:rFonts w:ascii="Times New Roman" w:hAnsi="Times New Roman"/>
        </w:rPr>
        <w:t xml:space="preserve">sull’intera collettività.  </w:t>
      </w:r>
    </w:p>
  </w:footnote>
  <w:footnote w:id="16">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00CE5C98" w:rsidRPr="002D36A1">
        <w:rPr>
          <w:rFonts w:ascii="Times New Roman" w:hAnsi="Times New Roman"/>
        </w:rPr>
        <w:t xml:space="preserve"> Così </w:t>
      </w:r>
      <w:r w:rsidRPr="002D36A1">
        <w:rPr>
          <w:rFonts w:ascii="Times New Roman" w:hAnsi="Times New Roman"/>
        </w:rPr>
        <w:t xml:space="preserve">A. SCOGNAMIGLIO, </w:t>
      </w:r>
      <w:r w:rsidRPr="002D36A1">
        <w:rPr>
          <w:rFonts w:ascii="Times New Roman" w:hAnsi="Times New Roman"/>
          <w:i/>
        </w:rPr>
        <w:t xml:space="preserve">Silenzio assenso e “interesse pubblico all’annullamento”, Giornale di dir. amm., </w:t>
      </w:r>
      <w:r w:rsidRPr="002D36A1">
        <w:rPr>
          <w:rFonts w:ascii="Times New Roman" w:hAnsi="Times New Roman"/>
        </w:rPr>
        <w:t xml:space="preserve">2008, 411, ss., </w:t>
      </w:r>
      <w:r w:rsidR="00F2430F" w:rsidRPr="002D36A1">
        <w:rPr>
          <w:rFonts w:ascii="Times New Roman" w:hAnsi="Times New Roman"/>
        </w:rPr>
        <w:t xml:space="preserve">spec. </w:t>
      </w:r>
      <w:r w:rsidRPr="002D36A1">
        <w:rPr>
          <w:rFonts w:ascii="Times New Roman" w:hAnsi="Times New Roman"/>
        </w:rPr>
        <w:t>417.</w:t>
      </w:r>
    </w:p>
  </w:footnote>
  <w:footnote w:id="17">
    <w:p w:rsidR="00221166" w:rsidRPr="002D36A1" w:rsidRDefault="00221166" w:rsidP="00AB24E7">
      <w:pPr>
        <w:pStyle w:val="Testonotaapidipagina"/>
        <w:ind w:left="567" w:right="567"/>
        <w:jc w:val="both"/>
        <w:rPr>
          <w:rFonts w:ascii="Times New Roman" w:hAnsi="Times New Roman"/>
        </w:rPr>
      </w:pPr>
    </w:p>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w:t>
      </w:r>
      <w:r w:rsidR="007763EF" w:rsidRPr="002D36A1">
        <w:rPr>
          <w:rFonts w:ascii="Times New Roman" w:hAnsi="Times New Roman"/>
        </w:rPr>
        <w:t xml:space="preserve">O meglio: nel principio di legalità visto alla luce del principio </w:t>
      </w:r>
      <w:r w:rsidRPr="002D36A1">
        <w:rPr>
          <w:rFonts w:ascii="Times New Roman" w:hAnsi="Times New Roman"/>
        </w:rPr>
        <w:t>di eguaglianza</w:t>
      </w:r>
      <w:r w:rsidR="007763EF" w:rsidRPr="002D36A1">
        <w:rPr>
          <w:rFonts w:ascii="Times New Roman" w:hAnsi="Times New Roman"/>
        </w:rPr>
        <w:t xml:space="preserve">, con </w:t>
      </w:r>
      <w:r w:rsidRPr="002D36A1">
        <w:rPr>
          <w:rFonts w:ascii="Times New Roman" w:hAnsi="Times New Roman"/>
        </w:rPr>
        <w:t xml:space="preserve">importanti ricadute sull’indennizzo - cfr. E. SCOTTI, </w:t>
      </w:r>
      <w:r w:rsidRPr="002D36A1">
        <w:rPr>
          <w:rFonts w:ascii="Times New Roman" w:hAnsi="Times New Roman"/>
          <w:i/>
        </w:rPr>
        <w:t xml:space="preserve">Liceità legittimità e responsabilità dell’amministrazione, </w:t>
      </w:r>
      <w:r w:rsidRPr="002D36A1">
        <w:rPr>
          <w:rFonts w:ascii="Times New Roman" w:hAnsi="Times New Roman"/>
        </w:rPr>
        <w:t>Napoli, 2012, 3 ss.</w:t>
      </w:r>
    </w:p>
  </w:footnote>
  <w:footnote w:id="18">
    <w:p w:rsidR="00221166" w:rsidRPr="002D36A1" w:rsidRDefault="00221166" w:rsidP="00AB24E7">
      <w:pPr>
        <w:spacing w:after="0" w:line="240" w:lineRule="auto"/>
        <w:ind w:left="567" w:right="567"/>
        <w:jc w:val="both"/>
        <w:rPr>
          <w:rFonts w:ascii="Times New Roman" w:hAnsi="Times New Roman"/>
          <w:i/>
          <w:sz w:val="20"/>
          <w:szCs w:val="20"/>
          <w:lang w:val="fr-FR"/>
        </w:rPr>
      </w:pPr>
      <w:r w:rsidRPr="002D36A1">
        <w:rPr>
          <w:rStyle w:val="Rimandonotaapidipagina"/>
          <w:rFonts w:ascii="Times New Roman" w:hAnsi="Times New Roman"/>
          <w:sz w:val="20"/>
          <w:szCs w:val="20"/>
        </w:rPr>
        <w:footnoteRef/>
      </w:r>
      <w:r w:rsidRPr="002D36A1">
        <w:rPr>
          <w:rFonts w:ascii="Times New Roman" w:hAnsi="Times New Roman"/>
          <w:sz w:val="20"/>
          <w:szCs w:val="20"/>
          <w:lang w:val="fr-FR"/>
        </w:rPr>
        <w:t xml:space="preserve"> Sia permesso rinviare alla lettura di A. CIOFFI, </w:t>
      </w:r>
      <w:r w:rsidRPr="002D36A1">
        <w:rPr>
          <w:rFonts w:ascii="Times New Roman" w:hAnsi="Times New Roman"/>
          <w:i/>
          <w:sz w:val="20"/>
          <w:szCs w:val="20"/>
          <w:lang w:val="fr-FR"/>
        </w:rPr>
        <w:t xml:space="preserve">Intérêt général et intérêt public en droit administratif. Rapport sur </w:t>
      </w:r>
      <w:smartTag w:uri="urn:schemas-microsoft-com:office:smarttags" w:element="PersonName">
        <w:smartTagPr>
          <w:attr w:name="ProductID" w:val="la France"/>
        </w:smartTagPr>
        <w:r w:rsidRPr="002D36A1">
          <w:rPr>
            <w:rFonts w:ascii="Times New Roman" w:hAnsi="Times New Roman"/>
            <w:i/>
            <w:sz w:val="20"/>
            <w:szCs w:val="20"/>
            <w:lang w:val="fr-FR"/>
          </w:rPr>
          <w:t>la France</w:t>
        </w:r>
      </w:smartTag>
      <w:r w:rsidRPr="002D36A1">
        <w:rPr>
          <w:rFonts w:ascii="Times New Roman" w:hAnsi="Times New Roman"/>
          <w:i/>
          <w:sz w:val="20"/>
          <w:szCs w:val="20"/>
          <w:lang w:val="fr-FR"/>
        </w:rPr>
        <w:t xml:space="preserve"> et l’Italie, </w:t>
      </w:r>
      <w:r w:rsidRPr="002D36A1">
        <w:rPr>
          <w:rFonts w:ascii="Times New Roman" w:hAnsi="Times New Roman"/>
          <w:sz w:val="20"/>
          <w:szCs w:val="20"/>
          <w:lang w:val="fr-FR"/>
        </w:rPr>
        <w:t xml:space="preserve"> in </w:t>
      </w:r>
      <w:r w:rsidRPr="002D36A1">
        <w:rPr>
          <w:rFonts w:ascii="Times New Roman" w:hAnsi="Times New Roman"/>
          <w:i/>
          <w:sz w:val="20"/>
          <w:szCs w:val="20"/>
          <w:lang w:val="fr-FR"/>
        </w:rPr>
        <w:t xml:space="preserve">Jus publicum, </w:t>
      </w:r>
      <w:r w:rsidRPr="002D36A1">
        <w:rPr>
          <w:rFonts w:ascii="Times New Roman" w:hAnsi="Times New Roman"/>
          <w:sz w:val="20"/>
          <w:szCs w:val="20"/>
          <w:lang w:val="fr-FR"/>
        </w:rPr>
        <w:t>2014, 1 ss.</w:t>
      </w:r>
    </w:p>
    <w:p w:rsidR="00221166" w:rsidRPr="002D36A1" w:rsidRDefault="00221166" w:rsidP="00AB24E7">
      <w:pPr>
        <w:spacing w:after="0" w:line="240" w:lineRule="auto"/>
        <w:ind w:left="567" w:right="567"/>
        <w:jc w:val="both"/>
        <w:rPr>
          <w:rFonts w:ascii="Times New Roman" w:hAnsi="Times New Roman"/>
        </w:rPr>
      </w:pPr>
    </w:p>
  </w:footnote>
  <w:footnote w:id="19">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Per questo modo di vedere l’interesse pubblico in chiave di interesse generale,  oltre al già citato Cons. St. sez. V, n. 1056/2016, ove l’interesse finanziario all’annullamento d’ufficio è un risparmio di spesa </w:t>
      </w:r>
      <w:r w:rsidR="0031601A" w:rsidRPr="002D36A1">
        <w:rPr>
          <w:rFonts w:ascii="Times New Roman" w:hAnsi="Times New Roman"/>
        </w:rPr>
        <w:t xml:space="preserve">di ammontare </w:t>
      </w:r>
      <w:r w:rsidRPr="002D36A1">
        <w:rPr>
          <w:rFonts w:ascii="Times New Roman" w:hAnsi="Times New Roman"/>
        </w:rPr>
        <w:t>così alto da riflettersi con ricadute positive sull’intera collettività</w:t>
      </w:r>
      <w:r w:rsidR="0031601A" w:rsidRPr="002D36A1">
        <w:rPr>
          <w:rFonts w:ascii="Times New Roman" w:hAnsi="Times New Roman"/>
        </w:rPr>
        <w:t xml:space="preserve"> – </w:t>
      </w:r>
      <w:r w:rsidRPr="002D36A1">
        <w:rPr>
          <w:rFonts w:ascii="Times New Roman" w:hAnsi="Times New Roman"/>
        </w:rPr>
        <w:t>v</w:t>
      </w:r>
      <w:r w:rsidR="0031601A" w:rsidRPr="002D36A1">
        <w:rPr>
          <w:rFonts w:ascii="Times New Roman" w:hAnsi="Times New Roman"/>
        </w:rPr>
        <w:t>.</w:t>
      </w:r>
      <w:r w:rsidRPr="002D36A1">
        <w:rPr>
          <w:rFonts w:ascii="Times New Roman" w:hAnsi="Times New Roman"/>
        </w:rPr>
        <w:t xml:space="preserve"> altresì Cons. St. , sez. VI, n. 1401/2016°, ove l’interesse è quello di permettere l’inizio della stagione balneare su tutto il litorale; Cons. St., sez. VI n. 1399/2016, ove l’interesse è quello di valorizzare il bene culturale inserendo un teatro storico nella rete dei teatri della città di Bari, sì da potenziare l’offerta culturale fruibile da parte di t</w:t>
      </w:r>
      <w:r w:rsidR="00B629B8" w:rsidRPr="002D36A1">
        <w:rPr>
          <w:rFonts w:ascii="Times New Roman" w:hAnsi="Times New Roman"/>
        </w:rPr>
        <w:t>utta la collettività; Cons. St.</w:t>
      </w:r>
      <w:r w:rsidRPr="002D36A1">
        <w:rPr>
          <w:rFonts w:ascii="Times New Roman" w:hAnsi="Times New Roman"/>
        </w:rPr>
        <w:t>, sez. IV, n. 1339/2016, ove l’interesse all’annullamento della variante al p.r.g. è quello di garantire l’equilibrio degli interessi e un impatto che abbia ricadute finali che siano favorevoli per l’intero territorio comunale; quanto invece alle esigenze dell’ordinamento penale, determinate da esigenze cautelari e dal fine di evitare il protrarsi di un beneficio illecito a danno di tutta una comunità comunale</w:t>
      </w:r>
      <w:r w:rsidR="00B629B8" w:rsidRPr="002D36A1">
        <w:rPr>
          <w:rFonts w:ascii="Times New Roman" w:hAnsi="Times New Roman"/>
        </w:rPr>
        <w:t>-</w:t>
      </w:r>
      <w:r w:rsidRPr="002D36A1">
        <w:rPr>
          <w:rFonts w:ascii="Times New Roman" w:hAnsi="Times New Roman"/>
        </w:rPr>
        <w:t xml:space="preserve"> v. Tar Basilicata, sez. I, n. 456/2010, a proposito della concessione di estrazione di idrocarburi. </w:t>
      </w:r>
    </w:p>
  </w:footnote>
  <w:footnote w:id="20">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v. N. LONGOBARDI, </w:t>
      </w:r>
      <w:r w:rsidRPr="002D36A1">
        <w:rPr>
          <w:rFonts w:ascii="Times New Roman" w:hAnsi="Times New Roman"/>
          <w:i/>
        </w:rPr>
        <w:t xml:space="preserve">Liberalizzazioni e libertà di impresa, Riv. it. </w:t>
      </w:r>
      <w:r w:rsidR="00B629B8" w:rsidRPr="002D36A1">
        <w:rPr>
          <w:rFonts w:ascii="Times New Roman" w:hAnsi="Times New Roman"/>
          <w:i/>
        </w:rPr>
        <w:t>d</w:t>
      </w:r>
      <w:r w:rsidRPr="002D36A1">
        <w:rPr>
          <w:rFonts w:ascii="Times New Roman" w:hAnsi="Times New Roman"/>
          <w:i/>
        </w:rPr>
        <w:t xml:space="preserve">ir. pubbl. comunitario, </w:t>
      </w:r>
      <w:r w:rsidRPr="002D36A1">
        <w:rPr>
          <w:rFonts w:ascii="Times New Roman" w:hAnsi="Times New Roman"/>
        </w:rPr>
        <w:t>2013, 603 ss., 637: “Gli Stati restano liberi (…) di individuare interessi pubblici meritevoli di</w:t>
      </w:r>
      <w:r w:rsidR="00142214" w:rsidRPr="002D36A1">
        <w:rPr>
          <w:rFonts w:ascii="Times New Roman" w:hAnsi="Times New Roman"/>
        </w:rPr>
        <w:t xml:space="preserve"> </w:t>
      </w:r>
      <w:r w:rsidRPr="002D36A1">
        <w:rPr>
          <w:rFonts w:ascii="Times New Roman" w:hAnsi="Times New Roman"/>
        </w:rPr>
        <w:t>protezione, apprestando per essi una tutela in deroga alle regole del mercato. Devono ricorrere, però,  «esigenze imperative di carattere generale</w:t>
      </w:r>
      <w:r w:rsidR="00B629B8" w:rsidRPr="002D36A1">
        <w:rPr>
          <w:rFonts w:ascii="Times New Roman" w:hAnsi="Times New Roman"/>
          <w:lang w:val="fr-FR"/>
        </w:rPr>
        <w:t>»</w:t>
      </w:r>
      <w:r w:rsidRPr="002D36A1">
        <w:rPr>
          <w:rFonts w:ascii="Times New Roman" w:hAnsi="Times New Roman"/>
        </w:rPr>
        <w:t>. L’espressione è frequentemente utilizzata nella Direttiva 2006/123 CE.”</w:t>
      </w:r>
    </w:p>
  </w:footnote>
  <w:footnote w:id="21">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v. L. F. PACE, </w:t>
      </w:r>
      <w:r w:rsidRPr="002D36A1">
        <w:rPr>
          <w:rFonts w:ascii="Times New Roman" w:hAnsi="Times New Roman"/>
          <w:i/>
        </w:rPr>
        <w:t xml:space="preserve">I principi generali di diritto dell’Unione europea e il  «viaggio attraverso i paesi della comunità”, </w:t>
      </w:r>
      <w:r w:rsidRPr="002D36A1">
        <w:rPr>
          <w:rFonts w:ascii="Times New Roman" w:hAnsi="Times New Roman"/>
        </w:rPr>
        <w:t xml:space="preserve"> in L. F. PACE (a cura di), </w:t>
      </w:r>
      <w:r w:rsidRPr="002D36A1">
        <w:rPr>
          <w:rFonts w:ascii="Times New Roman" w:hAnsi="Times New Roman"/>
          <w:i/>
        </w:rPr>
        <w:t xml:space="preserve">Nuove tendenze di diritto dell’Unione europea dopo il trattato di Lisbona, </w:t>
      </w:r>
      <w:r w:rsidRPr="002D36A1">
        <w:rPr>
          <w:rFonts w:ascii="Times New Roman" w:hAnsi="Times New Roman"/>
        </w:rPr>
        <w:t xml:space="preserve"> Milano, 2012 , 3 ss.</w:t>
      </w:r>
    </w:p>
  </w:footnote>
  <w:footnote w:id="22">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L’idea di interesse generale come limite dell’autonomia privata insito nel Code civil è già molto chiara nella giurisprudenza francese- </w:t>
      </w:r>
      <w:r w:rsidR="00B629B8" w:rsidRPr="002D36A1">
        <w:rPr>
          <w:rFonts w:ascii="Times New Roman" w:hAnsi="Times New Roman"/>
        </w:rPr>
        <w:t xml:space="preserve">v. </w:t>
      </w:r>
      <w:r w:rsidRPr="002D36A1">
        <w:rPr>
          <w:rFonts w:ascii="Times New Roman" w:hAnsi="Times New Roman"/>
        </w:rPr>
        <w:t xml:space="preserve">per esempio </w:t>
      </w:r>
      <w:r w:rsidRPr="002D36A1">
        <w:rPr>
          <w:rFonts w:ascii="Times New Roman" w:hAnsi="Times New Roman"/>
          <w:i/>
        </w:rPr>
        <w:t>Cour administrative d’appel de Versailles</w:t>
      </w:r>
      <w:r w:rsidRPr="002D36A1">
        <w:rPr>
          <w:rFonts w:ascii="Times New Roman" w:hAnsi="Times New Roman"/>
        </w:rPr>
        <w:t xml:space="preserve">, 7 mars 2006, </w:t>
      </w:r>
      <w:r w:rsidRPr="002D36A1">
        <w:rPr>
          <w:rFonts w:ascii="Times New Roman" w:hAnsi="Times New Roman"/>
          <w:i/>
        </w:rPr>
        <w:t>Commune de Dravel c. Société Via Net Works</w:t>
      </w:r>
      <w:r w:rsidRPr="002D36A1">
        <w:rPr>
          <w:rFonts w:ascii="Times New Roman" w:hAnsi="Times New Roman"/>
        </w:rPr>
        <w:t>, Conclusioni del Commissaire du Gouvernemet, in AJDA, 2006, 1044, 1045:  “Le contrat est la  «loi des parties</w:t>
      </w:r>
      <w:r w:rsidR="00CE5C98" w:rsidRPr="002D36A1">
        <w:rPr>
          <w:rFonts w:ascii="Times New Roman" w:hAnsi="Times New Roman"/>
          <w:lang w:val="fr-FR"/>
        </w:rPr>
        <w:t>»</w:t>
      </w:r>
      <w:r w:rsidRPr="002D36A1">
        <w:rPr>
          <w:rFonts w:ascii="Times New Roman" w:hAnsi="Times New Roman"/>
        </w:rPr>
        <w:t xml:space="preserve"> selon une formule maintes fois employée et découlant</w:t>
      </w:r>
      <w:r w:rsidR="0078312B">
        <w:rPr>
          <w:rFonts w:ascii="Times New Roman" w:hAnsi="Times New Roman"/>
        </w:rPr>
        <w:t>e</w:t>
      </w:r>
      <w:r w:rsidRPr="002D36A1">
        <w:rPr>
          <w:rFonts w:ascii="Times New Roman" w:hAnsi="Times New Roman"/>
        </w:rPr>
        <w:t xml:space="preserve"> de l’article 1134 du code civil (…) </w:t>
      </w:r>
      <w:r w:rsidRPr="002D36A1">
        <w:rPr>
          <w:rFonts w:ascii="Times New Roman" w:hAnsi="Times New Roman"/>
          <w:lang w:val="fr-FR"/>
        </w:rPr>
        <w:t>Mais</w:t>
      </w:r>
      <w:r w:rsidR="0078312B">
        <w:rPr>
          <w:rFonts w:ascii="Times New Roman" w:hAnsi="Times New Roman"/>
          <w:lang w:val="fr-FR"/>
        </w:rPr>
        <w:t>,</w:t>
      </w:r>
      <w:r w:rsidRPr="002D36A1">
        <w:rPr>
          <w:rFonts w:ascii="Times New Roman" w:hAnsi="Times New Roman"/>
          <w:lang w:val="fr-FR"/>
        </w:rPr>
        <w:t xml:space="preserve"> très vite, il est apparu nécessaire de limiter cette liberté, soit dans un but de respect des lois et de l’</w:t>
      </w:r>
      <w:r w:rsidR="00CE5C98" w:rsidRPr="002D36A1">
        <w:rPr>
          <w:rFonts w:ascii="Times New Roman" w:hAnsi="Times New Roman"/>
          <w:lang w:val="fr-FR"/>
        </w:rPr>
        <w:t>intérêt</w:t>
      </w:r>
      <w:r w:rsidRPr="002D36A1">
        <w:rPr>
          <w:rFonts w:ascii="Times New Roman" w:hAnsi="Times New Roman"/>
          <w:lang w:val="fr-FR"/>
        </w:rPr>
        <w:t xml:space="preserve"> général, soit pour protéger une partie du comportement de l’autre. Voyez sur ce point les commentaires du Juris classeur civil, à propos de l’article 6 du code civil.” ; sul tema è utile anche la lettura di J. D. DREYFUS, </w:t>
      </w:r>
      <w:r w:rsidRPr="002D36A1">
        <w:rPr>
          <w:rFonts w:ascii="Times New Roman" w:hAnsi="Times New Roman"/>
          <w:i/>
          <w:lang w:val="fr-FR"/>
        </w:rPr>
        <w:t>Aucun motif d’intérêt économique général ne permet l’attribution directe d’une concession de gaz,</w:t>
      </w:r>
      <w:r w:rsidRPr="002D36A1">
        <w:rPr>
          <w:rFonts w:ascii="Times New Roman" w:hAnsi="Times New Roman"/>
          <w:lang w:val="fr-FR"/>
        </w:rPr>
        <w:t xml:space="preserve"> in AJDA, 2006, 267 ss., in nota a </w:t>
      </w:r>
      <w:r w:rsidRPr="0078312B">
        <w:rPr>
          <w:rFonts w:ascii="Times New Roman" w:hAnsi="Times New Roman"/>
          <w:i/>
          <w:lang w:val="fr-FR"/>
        </w:rPr>
        <w:t>Tribunal administratif de Caen</w:t>
      </w:r>
      <w:r w:rsidR="0078312B">
        <w:rPr>
          <w:rFonts w:ascii="Times New Roman" w:hAnsi="Times New Roman"/>
          <w:lang w:val="fr-FR"/>
        </w:rPr>
        <w:t>,</w:t>
      </w:r>
      <w:r w:rsidRPr="002D36A1">
        <w:rPr>
          <w:rFonts w:ascii="Times New Roman" w:hAnsi="Times New Roman"/>
          <w:lang w:val="fr-FR"/>
        </w:rPr>
        <w:t xml:space="preserve"> 15 novembre 2005, </w:t>
      </w:r>
      <w:r w:rsidRPr="002D36A1">
        <w:rPr>
          <w:rFonts w:ascii="Times New Roman" w:hAnsi="Times New Roman"/>
          <w:i/>
          <w:lang w:val="fr-FR"/>
        </w:rPr>
        <w:t>Préfet de l’Orne ; s</w:t>
      </w:r>
      <w:r w:rsidRPr="002D36A1">
        <w:rPr>
          <w:rFonts w:ascii="Times New Roman" w:hAnsi="Times New Roman"/>
          <w:lang w:val="fr-FR"/>
        </w:rPr>
        <w:t xml:space="preserve">ul punto, in generale e in dottrina, v. F. GARTNER, </w:t>
      </w:r>
      <w:r w:rsidRPr="002D36A1">
        <w:rPr>
          <w:rFonts w:ascii="Times New Roman" w:hAnsi="Times New Roman"/>
          <w:i/>
          <w:lang w:val="fr-FR"/>
        </w:rPr>
        <w:t>Des rapports entre contrat</w:t>
      </w:r>
      <w:r w:rsidR="0078312B">
        <w:rPr>
          <w:rFonts w:ascii="Times New Roman" w:hAnsi="Times New Roman"/>
          <w:i/>
          <w:lang w:val="fr-FR"/>
        </w:rPr>
        <w:t>s</w:t>
      </w:r>
      <w:r w:rsidRPr="002D36A1">
        <w:rPr>
          <w:rFonts w:ascii="Times New Roman" w:hAnsi="Times New Roman"/>
          <w:i/>
          <w:lang w:val="fr-FR"/>
        </w:rPr>
        <w:t xml:space="preserve"> administratifs et intérêt général, </w:t>
      </w:r>
      <w:r w:rsidRPr="002D36A1">
        <w:rPr>
          <w:rFonts w:ascii="Times New Roman" w:hAnsi="Times New Roman"/>
          <w:lang w:val="fr-FR"/>
        </w:rPr>
        <w:t xml:space="preserve"> in </w:t>
      </w:r>
      <w:r w:rsidRPr="002D36A1">
        <w:rPr>
          <w:rFonts w:ascii="Times New Roman" w:hAnsi="Times New Roman"/>
          <w:i/>
          <w:lang w:val="fr-FR"/>
        </w:rPr>
        <w:t xml:space="preserve">Rév. française de Droit administratif, </w:t>
      </w:r>
      <w:r w:rsidRPr="002D36A1">
        <w:rPr>
          <w:rFonts w:ascii="Times New Roman" w:hAnsi="Times New Roman"/>
          <w:lang w:val="fr-FR"/>
        </w:rPr>
        <w:t xml:space="preserve">2006, 19 ss., spec. 22-23; nonché D. PUOYAUD, </w:t>
      </w:r>
      <w:r w:rsidRPr="002D36A1">
        <w:rPr>
          <w:rFonts w:ascii="Times New Roman" w:hAnsi="Times New Roman"/>
          <w:i/>
          <w:lang w:val="fr-FR"/>
        </w:rPr>
        <w:t xml:space="preserve">La nullité des contrats administratifs, </w:t>
      </w:r>
      <w:r w:rsidRPr="002D36A1">
        <w:rPr>
          <w:rFonts w:ascii="Times New Roman" w:hAnsi="Times New Roman"/>
          <w:lang w:val="fr-FR"/>
        </w:rPr>
        <w:t xml:space="preserve">LGDJ, Paris, 1991, spec., 171-173. </w:t>
      </w:r>
      <w:r w:rsidRPr="002D36A1">
        <w:rPr>
          <w:rFonts w:ascii="Times New Roman" w:hAnsi="Times New Roman"/>
          <w:i/>
          <w:lang w:val="fr-FR"/>
        </w:rPr>
        <w:t xml:space="preserve">  </w:t>
      </w:r>
      <w:r w:rsidRPr="002D36A1">
        <w:rPr>
          <w:rFonts w:ascii="Times New Roman" w:hAnsi="Times New Roman"/>
          <w:lang w:val="fr-FR"/>
        </w:rPr>
        <w:t xml:space="preserve">  </w:t>
      </w:r>
    </w:p>
  </w:footnote>
  <w:footnote w:id="23">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cfr. ALB. ROMANO, </w:t>
      </w:r>
      <w:r w:rsidRPr="002D36A1">
        <w:rPr>
          <w:rFonts w:ascii="Times New Roman" w:hAnsi="Times New Roman"/>
          <w:i/>
        </w:rPr>
        <w:t xml:space="preserve">La nullità del provvedimento amministrativo, </w:t>
      </w:r>
      <w:r w:rsidRPr="002D36A1">
        <w:rPr>
          <w:rFonts w:ascii="Times New Roman" w:hAnsi="Times New Roman"/>
        </w:rPr>
        <w:t xml:space="preserve"> in ALB. ROMANO, (a cura di), </w:t>
      </w:r>
      <w:r w:rsidRPr="002D36A1">
        <w:rPr>
          <w:rFonts w:ascii="Times New Roman" w:hAnsi="Times New Roman"/>
          <w:i/>
        </w:rPr>
        <w:t>L’azione amministrativa</w:t>
      </w:r>
      <w:r w:rsidR="0078312B">
        <w:rPr>
          <w:rFonts w:ascii="Times New Roman" w:hAnsi="Times New Roman"/>
          <w:i/>
        </w:rPr>
        <w:t xml:space="preserve"> </w:t>
      </w:r>
      <w:r w:rsidR="0078312B">
        <w:rPr>
          <w:rFonts w:ascii="Times New Roman" w:hAnsi="Times New Roman"/>
        </w:rPr>
        <w:t xml:space="preserve"> … cit., </w:t>
      </w:r>
      <w:r w:rsidRPr="002D36A1">
        <w:rPr>
          <w:rFonts w:ascii="Times New Roman" w:hAnsi="Times New Roman"/>
        </w:rPr>
        <w:t>796 ss., 810: “E’ nella formulazione dello stesso art. 1322 c.c. già richiamato, ma ora al comma 2- ed  in relazione a questo passo che la sua rubrica “</w:t>
      </w:r>
      <w:r w:rsidRPr="002D36A1">
        <w:rPr>
          <w:rFonts w:ascii="Times New Roman" w:hAnsi="Times New Roman"/>
          <w:i/>
        </w:rPr>
        <w:t xml:space="preserve">Autonomia contrattuale”, </w:t>
      </w:r>
      <w:r w:rsidRPr="002D36A1">
        <w:rPr>
          <w:rFonts w:ascii="Times New Roman" w:hAnsi="Times New Roman"/>
        </w:rPr>
        <w:t>manifesta il massimo della sua significatività -, che il nostro ordinamento statuale ha espresso la sua apertura a questa autonomia medesima:  «</w:t>
      </w:r>
      <w:r w:rsidRPr="002D36A1">
        <w:rPr>
          <w:rFonts w:ascii="Times New Roman" w:hAnsi="Times New Roman"/>
          <w:i/>
        </w:rPr>
        <w:t>Le parti possono anche concludere contratti</w:t>
      </w:r>
      <w:r w:rsidRPr="002D36A1">
        <w:rPr>
          <w:rFonts w:ascii="Times New Roman" w:hAnsi="Times New Roman"/>
        </w:rPr>
        <w:t xml:space="preserve"> …” (…) ed è una concessione di grande pregnanza, perché esplicita in sintesi la natura profonda e l’ampiezza del riconoscimento che esso ordinamento statuale ha assentito alla naturale capacità negoziale che i privati hanno sempre mostrato di avere. Va sottolineato: pure in quel 1942 nel quale il codice civile entrò in vigore nella sua interezza. Cioè, in un regime politico che ci si limiterà a dire fosse più marcatamente statalista di quello che portò alla elaborazione della Costituzione del 1948; e all’enunciazione del comma 1 dell’art. 41:  «</w:t>
      </w:r>
      <w:r w:rsidRPr="002D36A1">
        <w:rPr>
          <w:rFonts w:ascii="Times New Roman" w:hAnsi="Times New Roman"/>
          <w:i/>
        </w:rPr>
        <w:t xml:space="preserve">L’iniziativa economica privata è libera”- </w:t>
      </w:r>
      <w:r w:rsidRPr="002D36A1">
        <w:rPr>
          <w:rFonts w:ascii="Times New Roman" w:hAnsi="Times New Roman"/>
        </w:rPr>
        <w:t xml:space="preserve">per quanto anche l’art. IX della cd. </w:t>
      </w:r>
      <w:r w:rsidRPr="002D36A1">
        <w:rPr>
          <w:rFonts w:ascii="Times New Roman" w:hAnsi="Times New Roman"/>
          <w:i/>
        </w:rPr>
        <w:t xml:space="preserve">Carta del lavoro </w:t>
      </w:r>
      <w:r w:rsidRPr="002D36A1">
        <w:rPr>
          <w:rFonts w:ascii="Times New Roman" w:hAnsi="Times New Roman"/>
        </w:rPr>
        <w:t xml:space="preserve"> del 1927  predicasse il carattere solo sostitutivo dell’intervento pubblico, nella produzione industriale, ad una iniziativa privata, quando questa si fosse rivelata insufficiente; a parte l’eventualità che siano in gioco interessi politici dello Stato.”</w:t>
      </w:r>
    </w:p>
  </w:footnote>
  <w:footnote w:id="24">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lang w:val="fr-FR"/>
        </w:rPr>
        <w:t xml:space="preserve"> cfr. N. LONGOBARDI, </w:t>
      </w:r>
      <w:r w:rsidRPr="002D36A1">
        <w:rPr>
          <w:rFonts w:ascii="Times New Roman" w:hAnsi="Times New Roman"/>
          <w:i/>
          <w:lang w:val="fr-FR"/>
        </w:rPr>
        <w:t xml:space="preserve">Liberalizzazioni e libertà di impresa </w:t>
      </w:r>
      <w:r w:rsidRPr="002D36A1">
        <w:rPr>
          <w:rFonts w:ascii="Times New Roman" w:hAnsi="Times New Roman"/>
          <w:lang w:val="fr-FR"/>
        </w:rPr>
        <w:t xml:space="preserve">… cit., 637-638. </w:t>
      </w:r>
    </w:p>
  </w:footnote>
  <w:footnote w:id="25">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lang w:val="fr-FR"/>
        </w:rPr>
        <w:t xml:space="preserve"> v. S. TRAORE’, </w:t>
      </w:r>
      <w:r w:rsidRPr="002D36A1">
        <w:rPr>
          <w:rFonts w:ascii="Times New Roman" w:hAnsi="Times New Roman"/>
          <w:i/>
          <w:lang w:val="fr-FR"/>
        </w:rPr>
        <w:t xml:space="preserve">Contribution à l’étude de  l’acte déclaratif </w:t>
      </w:r>
      <w:r w:rsidR="00B629B8" w:rsidRPr="002D36A1">
        <w:rPr>
          <w:rFonts w:ascii="Times New Roman" w:hAnsi="Times New Roman"/>
          <w:i/>
          <w:lang w:val="fr-FR"/>
        </w:rPr>
        <w:t>de l’intérêt général, Rev. d</w:t>
      </w:r>
      <w:r w:rsidRPr="002D36A1">
        <w:rPr>
          <w:rFonts w:ascii="Times New Roman" w:hAnsi="Times New Roman"/>
          <w:i/>
          <w:lang w:val="fr-FR"/>
        </w:rPr>
        <w:t xml:space="preserve">roit  </w:t>
      </w:r>
      <w:r w:rsidR="00B629B8" w:rsidRPr="002D36A1">
        <w:rPr>
          <w:rFonts w:ascii="Times New Roman" w:hAnsi="Times New Roman"/>
          <w:i/>
          <w:lang w:val="fr-FR"/>
        </w:rPr>
        <w:t>p</w:t>
      </w:r>
      <w:r w:rsidRPr="002D36A1">
        <w:rPr>
          <w:rFonts w:ascii="Times New Roman" w:hAnsi="Times New Roman"/>
          <w:i/>
          <w:lang w:val="fr-FR"/>
        </w:rPr>
        <w:t xml:space="preserve">ublic, </w:t>
      </w:r>
      <w:r w:rsidRPr="002D36A1">
        <w:rPr>
          <w:rFonts w:ascii="Times New Roman" w:hAnsi="Times New Roman"/>
          <w:lang w:val="fr-FR"/>
        </w:rPr>
        <w:t xml:space="preserve">2015, 1533 ss., spec. </w:t>
      </w:r>
      <w:r w:rsidRPr="002D36A1">
        <w:rPr>
          <w:rFonts w:ascii="Times New Roman" w:hAnsi="Times New Roman"/>
        </w:rPr>
        <w:t xml:space="preserve">1534, ove si </w:t>
      </w:r>
      <w:r w:rsidR="00B629B8" w:rsidRPr="002D36A1">
        <w:rPr>
          <w:rFonts w:ascii="Times New Roman" w:hAnsi="Times New Roman"/>
        </w:rPr>
        <w:t>osserva che</w:t>
      </w:r>
      <w:r w:rsidRPr="002D36A1">
        <w:rPr>
          <w:rFonts w:ascii="Times New Roman" w:hAnsi="Times New Roman"/>
        </w:rPr>
        <w:t xml:space="preserve"> nella dichiarazione di pubblica utilità e in simili vicende spesso l’imposizione dell’interesse generale a sacrificio dell’interesse individuale sorg</w:t>
      </w:r>
      <w:r w:rsidR="00B629B8" w:rsidRPr="002D36A1">
        <w:rPr>
          <w:rFonts w:ascii="Times New Roman" w:hAnsi="Times New Roman"/>
        </w:rPr>
        <w:t>e</w:t>
      </w:r>
      <w:r w:rsidRPr="002D36A1">
        <w:rPr>
          <w:rFonts w:ascii="Times New Roman" w:hAnsi="Times New Roman"/>
        </w:rPr>
        <w:t xml:space="preserve"> dall’interesse stesso dei cittadini e dalle loro istanze all’amministrazione</w:t>
      </w:r>
      <w:r w:rsidR="00B629B8" w:rsidRPr="002D36A1">
        <w:rPr>
          <w:rFonts w:ascii="Times New Roman" w:hAnsi="Times New Roman"/>
        </w:rPr>
        <w:t xml:space="preserve">. </w:t>
      </w:r>
    </w:p>
  </w:footnote>
  <w:footnote w:id="26">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v. ALB. ROMANO, </w:t>
      </w:r>
      <w:r w:rsidRPr="002D36A1">
        <w:rPr>
          <w:rFonts w:ascii="Times New Roman" w:hAnsi="Times New Roman"/>
          <w:i/>
        </w:rPr>
        <w:t xml:space="preserve">Relazione di sintesi, </w:t>
      </w:r>
      <w:r w:rsidRPr="002D36A1">
        <w:rPr>
          <w:rFonts w:ascii="Times New Roman" w:hAnsi="Times New Roman"/>
        </w:rPr>
        <w:t xml:space="preserve">in </w:t>
      </w:r>
      <w:r w:rsidRPr="002D36A1">
        <w:rPr>
          <w:rFonts w:ascii="Times New Roman" w:hAnsi="Times New Roman"/>
          <w:i/>
        </w:rPr>
        <w:t xml:space="preserve">Amministrazione e legalità. Fonti normative e ordinamenti </w:t>
      </w:r>
      <w:r w:rsidRPr="002D36A1">
        <w:rPr>
          <w:rFonts w:ascii="Times New Roman" w:hAnsi="Times New Roman"/>
        </w:rPr>
        <w:t>(a cura di C. PINELLI)</w:t>
      </w:r>
      <w:r w:rsidRPr="002D36A1">
        <w:rPr>
          <w:rFonts w:ascii="Times New Roman" w:hAnsi="Times New Roman"/>
          <w:i/>
        </w:rPr>
        <w:t xml:space="preserve">, </w:t>
      </w:r>
      <w:r w:rsidRPr="002D36A1">
        <w:rPr>
          <w:rFonts w:ascii="Times New Roman" w:hAnsi="Times New Roman"/>
        </w:rPr>
        <w:t xml:space="preserve">Milano, 2000, 95 ss, spec., 105; nonché F. TRIMARCHI BANFI, </w:t>
      </w:r>
      <w:r w:rsidRPr="002D36A1">
        <w:rPr>
          <w:rFonts w:ascii="Times New Roman" w:hAnsi="Times New Roman"/>
          <w:i/>
        </w:rPr>
        <w:t xml:space="preserve">Il “terzo” nel diritto amministrativo: a proposito di semplificazioni, Dir. proc. amm., </w:t>
      </w:r>
      <w:r w:rsidRPr="002D36A1">
        <w:rPr>
          <w:rFonts w:ascii="Times New Roman" w:hAnsi="Times New Roman"/>
        </w:rPr>
        <w:t xml:space="preserve">2014, 25 ss., spec. 29, 49; in senso critico v. G. DI GASPARE, </w:t>
      </w:r>
      <w:r w:rsidRPr="002D36A1">
        <w:rPr>
          <w:rFonts w:ascii="Times New Roman" w:hAnsi="Times New Roman"/>
          <w:i/>
        </w:rPr>
        <w:t xml:space="preserve">Il potere nel diritto pubblico, </w:t>
      </w:r>
      <w:r w:rsidRPr="002D36A1">
        <w:rPr>
          <w:rFonts w:ascii="Times New Roman" w:hAnsi="Times New Roman"/>
        </w:rPr>
        <w:t xml:space="preserve">Padova, 1992, 81: la generalità e l’astrattezza della legge fanno velo e “definiscono il solo contenuto possibile della norma di legge nello Stato di diritto: l’interesse generale.”. Nella teoria generale, per il carattere di universalità insito in siffatto interesse cfr. W. CESARINI SFORZA, </w:t>
      </w:r>
      <w:r w:rsidRPr="002D36A1">
        <w:rPr>
          <w:rFonts w:ascii="Times New Roman" w:hAnsi="Times New Roman"/>
          <w:i/>
        </w:rPr>
        <w:t xml:space="preserve">Sul concetto di interesse generale, </w:t>
      </w:r>
      <w:r w:rsidRPr="002D36A1">
        <w:rPr>
          <w:rFonts w:ascii="Times New Roman" w:hAnsi="Times New Roman"/>
        </w:rPr>
        <w:t xml:space="preserve">(1935) ora in </w:t>
      </w:r>
      <w:r w:rsidRPr="002D36A1">
        <w:rPr>
          <w:rFonts w:ascii="Times New Roman" w:hAnsi="Times New Roman"/>
          <w:i/>
        </w:rPr>
        <w:t xml:space="preserve">Vecchie e nuove pagine di filosofia, storia e diritto, </w:t>
      </w:r>
      <w:r w:rsidRPr="002D36A1">
        <w:rPr>
          <w:rFonts w:ascii="Times New Roman" w:hAnsi="Times New Roman"/>
        </w:rPr>
        <w:t>Milano, 1967, II, 263 ss.</w:t>
      </w:r>
      <w:r w:rsidR="00142214" w:rsidRPr="002D36A1">
        <w:rPr>
          <w:rFonts w:ascii="Times New Roman" w:hAnsi="Times New Roman"/>
        </w:rPr>
        <w:t xml:space="preserve">, spec. </w:t>
      </w:r>
      <w:r w:rsidRPr="002D36A1">
        <w:rPr>
          <w:rFonts w:ascii="Times New Roman" w:hAnsi="Times New Roman"/>
        </w:rPr>
        <w:t>28</w:t>
      </w:r>
      <w:r w:rsidR="0051784B" w:rsidRPr="002D36A1">
        <w:rPr>
          <w:rFonts w:ascii="Times New Roman" w:hAnsi="Times New Roman"/>
        </w:rPr>
        <w:t>0</w:t>
      </w:r>
      <w:r w:rsidR="00C81FE7" w:rsidRPr="002D36A1">
        <w:rPr>
          <w:rFonts w:ascii="Times New Roman" w:hAnsi="Times New Roman"/>
        </w:rPr>
        <w:t xml:space="preserve">- v. nota </w:t>
      </w:r>
      <w:r w:rsidR="00C81FE7" w:rsidRPr="002D36A1">
        <w:rPr>
          <w:rFonts w:ascii="Times New Roman" w:hAnsi="Times New Roman"/>
          <w:i/>
        </w:rPr>
        <w:t>infra</w:t>
      </w:r>
      <w:r w:rsidR="00C81FE7" w:rsidRPr="002D36A1">
        <w:rPr>
          <w:rFonts w:ascii="Times New Roman" w:hAnsi="Times New Roman"/>
        </w:rPr>
        <w:t xml:space="preserve">. </w:t>
      </w:r>
      <w:r w:rsidR="0051784B" w:rsidRPr="002D36A1">
        <w:rPr>
          <w:rFonts w:ascii="Times New Roman" w:hAnsi="Times New Roman"/>
        </w:rPr>
        <w:t xml:space="preserve"> </w:t>
      </w:r>
    </w:p>
  </w:footnote>
  <w:footnote w:id="27">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cfr. N. LONGOBARDI, </w:t>
      </w:r>
      <w:r w:rsidRPr="002D36A1">
        <w:rPr>
          <w:rFonts w:ascii="Times New Roman" w:hAnsi="Times New Roman"/>
          <w:i/>
        </w:rPr>
        <w:t xml:space="preserve">Liberalizzazioni e libertà di impresa </w:t>
      </w:r>
      <w:r w:rsidRPr="002D36A1">
        <w:rPr>
          <w:rFonts w:ascii="Times New Roman" w:hAnsi="Times New Roman"/>
        </w:rPr>
        <w:t>… cit., 637: “Le  «esigenze imperative di carattere generale</w:t>
      </w:r>
      <w:r w:rsidR="00CE5C98" w:rsidRPr="002D36A1">
        <w:rPr>
          <w:rFonts w:ascii="Times New Roman" w:hAnsi="Times New Roman"/>
          <w:lang w:val="fr-FR"/>
        </w:rPr>
        <w:t>»</w:t>
      </w:r>
      <w:r w:rsidRPr="002D36A1">
        <w:rPr>
          <w:rFonts w:ascii="Times New Roman" w:hAnsi="Times New Roman"/>
        </w:rPr>
        <w:t xml:space="preserve"> costituiscono una categoria generale elaborata dal giudice comunitario”.</w:t>
      </w:r>
    </w:p>
  </w:footnote>
  <w:footnote w:id="28">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lang w:val="fr-FR"/>
        </w:rPr>
        <w:t xml:space="preserve"> Per il diritto francese v. </w:t>
      </w:r>
      <w:r w:rsidRPr="002D36A1">
        <w:rPr>
          <w:rFonts w:ascii="Times New Roman" w:hAnsi="Times New Roman"/>
          <w:i/>
          <w:lang w:val="fr-FR"/>
        </w:rPr>
        <w:t>Cour administrative d’appel de Versailles</w:t>
      </w:r>
      <w:r w:rsidRPr="002D36A1">
        <w:rPr>
          <w:rFonts w:ascii="Times New Roman" w:hAnsi="Times New Roman"/>
          <w:lang w:val="fr-FR"/>
        </w:rPr>
        <w:t>, 7 mars 2006 … cit., 1045: « C'est-à-dire pour assurer le respect de l’ordre public au sens large (…) Donc de l’ordre public par la sauvegarde d’</w:t>
      </w:r>
      <w:r w:rsidR="00CE5C98" w:rsidRPr="002D36A1">
        <w:rPr>
          <w:rFonts w:ascii="Times New Roman" w:hAnsi="Times New Roman"/>
          <w:lang w:val="fr-FR"/>
        </w:rPr>
        <w:t>intérêt</w:t>
      </w:r>
      <w:r w:rsidRPr="002D36A1">
        <w:rPr>
          <w:rFonts w:ascii="Times New Roman" w:hAnsi="Times New Roman"/>
          <w:lang w:val="fr-FR"/>
        </w:rPr>
        <w:t>s généraux considérés comme majeurs et par  la protection  des plus faibles</w:t>
      </w:r>
      <w:r w:rsidR="00B629B8" w:rsidRPr="002D36A1">
        <w:rPr>
          <w:rFonts w:ascii="Times New Roman" w:hAnsi="Times New Roman"/>
          <w:lang w:val="fr-FR"/>
        </w:rPr>
        <w:t>.</w:t>
      </w:r>
      <w:r w:rsidRPr="002D36A1">
        <w:rPr>
          <w:rFonts w:ascii="Times New Roman" w:hAnsi="Times New Roman"/>
          <w:lang w:val="fr-FR"/>
        </w:rPr>
        <w:t xml:space="preserve"> Cet ordre public peut etre privé, économique, social ou moral» ; nel medesimo senso in dottrina v. P. BERNARD, </w:t>
      </w:r>
      <w:smartTag w:uri="urn:schemas-microsoft-com:office:smarttags" w:element="PersonName">
        <w:smartTagPr>
          <w:attr w:name="ProductID" w:val="La Notion"/>
        </w:smartTagPr>
        <w:r w:rsidRPr="002D36A1">
          <w:rPr>
            <w:rFonts w:ascii="Times New Roman" w:hAnsi="Times New Roman"/>
            <w:i/>
            <w:lang w:val="fr-FR"/>
          </w:rPr>
          <w:t>La Notion</w:t>
        </w:r>
      </w:smartTag>
      <w:r w:rsidRPr="002D36A1">
        <w:rPr>
          <w:rFonts w:ascii="Times New Roman" w:hAnsi="Times New Roman"/>
          <w:i/>
          <w:lang w:val="fr-FR"/>
        </w:rPr>
        <w:t xml:space="preserve"> d’ordre public en droit administratif, </w:t>
      </w:r>
      <w:r w:rsidRPr="002D36A1">
        <w:rPr>
          <w:rFonts w:ascii="Times New Roman" w:hAnsi="Times New Roman"/>
          <w:lang w:val="fr-FR"/>
        </w:rPr>
        <w:t xml:space="preserve">LGDJ, Paris, 1962, spec. </w:t>
      </w:r>
      <w:r w:rsidRPr="002D36A1">
        <w:rPr>
          <w:rFonts w:ascii="Times New Roman" w:hAnsi="Times New Roman"/>
        </w:rPr>
        <w:t>81 e 274. Per l’ordinamento europeo v. il considerando n. 22 della direttiva 66/2007 o il considerando n. 40 della direttiva 2006/123: “l’ordine pubblico, la pubblica sicurezza e la sanità pubblica … il mantenimento dell’ordine sociale, gli obiettivi di politica sociale, la tutela dei destinatari dei servizi, la tutela dei consumatori, la salvaguardia dell’equilibrio finanziario del regime di sicurezza sociale, la prevenzione de</w:t>
      </w:r>
      <w:r w:rsidR="00B629B8" w:rsidRPr="002D36A1">
        <w:rPr>
          <w:rFonts w:ascii="Times New Roman" w:hAnsi="Times New Roman"/>
        </w:rPr>
        <w:t>l</w:t>
      </w:r>
      <w:r w:rsidRPr="002D36A1">
        <w:rPr>
          <w:rFonts w:ascii="Times New Roman" w:hAnsi="Times New Roman"/>
        </w:rPr>
        <w:t xml:space="preserve">la frode, la prevenzione della concorrenza sleale, la protezione dell’ambiente, la salvaguardia della sana amministrazione della giustizia, la sicurezza stradale, la tutela della proprietà intellettuale, gli obiettivi di politica culturale </w:t>
      </w:r>
      <w:r w:rsidR="00B629B8" w:rsidRPr="002D36A1">
        <w:rPr>
          <w:rFonts w:ascii="Times New Roman" w:hAnsi="Times New Roman"/>
        </w:rPr>
        <w:t>(</w:t>
      </w:r>
      <w:r w:rsidRPr="002D36A1">
        <w:rPr>
          <w:rFonts w:ascii="Times New Roman" w:hAnsi="Times New Roman"/>
        </w:rPr>
        <w:t>…</w:t>
      </w:r>
      <w:r w:rsidR="00B629B8" w:rsidRPr="002D36A1">
        <w:rPr>
          <w:rFonts w:ascii="Times New Roman" w:hAnsi="Times New Roman"/>
        </w:rPr>
        <w:t>),</w:t>
      </w:r>
      <w:r w:rsidRPr="002D36A1">
        <w:rPr>
          <w:rFonts w:ascii="Times New Roman" w:hAnsi="Times New Roman"/>
        </w:rPr>
        <w:t xml:space="preserve"> il pluralismo della stampa,  la conservazione del patrimonio nazionale storico e artistico.”   </w:t>
      </w:r>
    </w:p>
  </w:footnote>
  <w:footnote w:id="29">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così G. AMATO, </w:t>
      </w:r>
      <w:r w:rsidRPr="002D36A1">
        <w:rPr>
          <w:rFonts w:ascii="Times New Roman" w:hAnsi="Times New Roman"/>
          <w:i/>
        </w:rPr>
        <w:t xml:space="preserve">Libertà (dir. cost.), Enc. dir., </w:t>
      </w:r>
      <w:r w:rsidRPr="002D36A1">
        <w:rPr>
          <w:rFonts w:ascii="Times New Roman" w:hAnsi="Times New Roman"/>
        </w:rPr>
        <w:t>XXIV,  272 ss.</w:t>
      </w:r>
    </w:p>
  </w:footnote>
  <w:footnote w:id="30">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Sul piano generale, di recente e senza completezza, v. </w:t>
      </w:r>
      <w:r w:rsidR="007C272D" w:rsidRPr="002D36A1">
        <w:rPr>
          <w:rFonts w:ascii="Times New Roman" w:hAnsi="Times New Roman"/>
        </w:rPr>
        <w:t xml:space="preserve">M. RAMAJOLI, </w:t>
      </w:r>
      <w:r w:rsidR="007C272D" w:rsidRPr="002D36A1">
        <w:rPr>
          <w:rFonts w:ascii="Times New Roman" w:hAnsi="Times New Roman"/>
          <w:i/>
        </w:rPr>
        <w:t xml:space="preserve">Liberalizzazioni: una lettura giuridica, Il dir. dell’economia, </w:t>
      </w:r>
      <w:r w:rsidR="007C272D" w:rsidRPr="002D36A1">
        <w:rPr>
          <w:rFonts w:ascii="Times New Roman" w:hAnsi="Times New Roman"/>
        </w:rPr>
        <w:t xml:space="preserve">2012, 507 ss.; </w:t>
      </w:r>
      <w:r w:rsidRPr="002D36A1">
        <w:rPr>
          <w:rFonts w:ascii="Times New Roman" w:hAnsi="Times New Roman"/>
        </w:rPr>
        <w:t xml:space="preserve">M. CLARICH, </w:t>
      </w:r>
      <w:r w:rsidRPr="002D36A1">
        <w:rPr>
          <w:rFonts w:ascii="Times New Roman" w:hAnsi="Times New Roman"/>
          <w:i/>
        </w:rPr>
        <w:t>Autorizzazioni e concessioni:</w:t>
      </w:r>
      <w:r w:rsidR="007C272D" w:rsidRPr="002D36A1">
        <w:rPr>
          <w:rFonts w:ascii="Times New Roman" w:hAnsi="Times New Roman"/>
          <w:i/>
        </w:rPr>
        <w:t xml:space="preserve"> </w:t>
      </w:r>
      <w:r w:rsidRPr="002D36A1">
        <w:rPr>
          <w:rFonts w:ascii="Times New Roman" w:hAnsi="Times New Roman"/>
          <w:i/>
        </w:rPr>
        <w:t xml:space="preserve">presidi dell’interesse pubblico o barriere </w:t>
      </w:r>
      <w:r w:rsidRPr="002D36A1">
        <w:rPr>
          <w:rFonts w:ascii="Times New Roman" w:hAnsi="Times New Roman"/>
        </w:rPr>
        <w:t xml:space="preserve"> </w:t>
      </w:r>
      <w:r w:rsidRPr="002D36A1">
        <w:rPr>
          <w:rFonts w:ascii="Times New Roman" w:hAnsi="Times New Roman"/>
          <w:i/>
        </w:rPr>
        <w:t>all’ accesso al mercato?, Il dir. dell’ec</w:t>
      </w:r>
      <w:r w:rsidR="007C272D" w:rsidRPr="002D36A1">
        <w:rPr>
          <w:rFonts w:ascii="Times New Roman" w:hAnsi="Times New Roman"/>
          <w:i/>
        </w:rPr>
        <w:t>onomia</w:t>
      </w:r>
      <w:r w:rsidRPr="002D36A1">
        <w:rPr>
          <w:rFonts w:ascii="Times New Roman" w:hAnsi="Times New Roman"/>
          <w:i/>
        </w:rPr>
        <w:t xml:space="preserve">, </w:t>
      </w:r>
      <w:r w:rsidRPr="002D36A1">
        <w:rPr>
          <w:rFonts w:ascii="Times New Roman" w:hAnsi="Times New Roman"/>
        </w:rPr>
        <w:t xml:space="preserve">2015, 9 ss.; F. LIGUORI, </w:t>
      </w:r>
      <w:r w:rsidRPr="002D36A1">
        <w:rPr>
          <w:rFonts w:ascii="Times New Roman" w:hAnsi="Times New Roman"/>
          <w:i/>
        </w:rPr>
        <w:t xml:space="preserve">L’accesso al mercato: dal controllo </w:t>
      </w:r>
      <w:r w:rsidRPr="002D36A1">
        <w:rPr>
          <w:rFonts w:ascii="Times New Roman" w:hAnsi="Times New Roman"/>
        </w:rPr>
        <w:t xml:space="preserve">ex ante </w:t>
      </w:r>
      <w:r w:rsidRPr="002D36A1">
        <w:rPr>
          <w:rFonts w:ascii="Times New Roman" w:hAnsi="Times New Roman"/>
          <w:i/>
        </w:rPr>
        <w:t xml:space="preserve">al controllo </w:t>
      </w:r>
      <w:r w:rsidRPr="002D36A1">
        <w:rPr>
          <w:rFonts w:ascii="Times New Roman" w:hAnsi="Times New Roman"/>
        </w:rPr>
        <w:t xml:space="preserve">ex post, in F. LIGUORI, C. ACOCELLA (a cura di), </w:t>
      </w:r>
      <w:r w:rsidRPr="002D36A1">
        <w:rPr>
          <w:rFonts w:ascii="Times New Roman" w:hAnsi="Times New Roman"/>
          <w:i/>
        </w:rPr>
        <w:t xml:space="preserve">Liberalizzazioni, </w:t>
      </w:r>
      <w:r w:rsidRPr="002D36A1">
        <w:rPr>
          <w:rFonts w:ascii="Times New Roman" w:hAnsi="Times New Roman"/>
        </w:rPr>
        <w:t xml:space="preserve">Napoli, 2015, 19 ss.; G. DI GASPARE, </w:t>
      </w:r>
      <w:r w:rsidRPr="002D36A1">
        <w:rPr>
          <w:rFonts w:ascii="Times New Roman" w:hAnsi="Times New Roman"/>
          <w:i/>
        </w:rPr>
        <w:t xml:space="preserve">Diritto dell’economia e dinamiche istituzionali, </w:t>
      </w:r>
      <w:r w:rsidRPr="002D36A1">
        <w:rPr>
          <w:rFonts w:ascii="Times New Roman" w:hAnsi="Times New Roman"/>
        </w:rPr>
        <w:t xml:space="preserve">Padova, 2015, spec. 89-93; M. PASSALACQUA (a cura di), </w:t>
      </w:r>
      <w:r w:rsidRPr="002D36A1">
        <w:rPr>
          <w:rFonts w:ascii="Times New Roman" w:hAnsi="Times New Roman"/>
          <w:i/>
        </w:rPr>
        <w:t>Il  «disordine</w:t>
      </w:r>
      <w:r w:rsidR="00A36D25" w:rsidRPr="002D36A1">
        <w:rPr>
          <w:rFonts w:ascii="Times New Roman" w:hAnsi="Times New Roman"/>
          <w:lang w:val="fr-FR"/>
        </w:rPr>
        <w:t>»</w:t>
      </w:r>
      <w:r w:rsidRPr="002D36A1">
        <w:rPr>
          <w:rFonts w:ascii="Times New Roman" w:hAnsi="Times New Roman"/>
          <w:i/>
        </w:rPr>
        <w:t xml:space="preserve"> dei servizi pubblici locali, Torino, </w:t>
      </w:r>
      <w:r w:rsidRPr="002D36A1">
        <w:rPr>
          <w:rFonts w:ascii="Times New Roman" w:hAnsi="Times New Roman"/>
        </w:rPr>
        <w:t xml:space="preserve">2015, ove in particolare E. SCOTTI, </w:t>
      </w:r>
      <w:r w:rsidRPr="002D36A1">
        <w:rPr>
          <w:rFonts w:ascii="Times New Roman" w:hAnsi="Times New Roman"/>
          <w:i/>
        </w:rPr>
        <w:t xml:space="preserve">Il finanziamento dei servizi pubblici locali tra vincoli di bilancio, aiuti di stato e diritti fondamentali, ibidem, </w:t>
      </w:r>
      <w:r w:rsidRPr="002D36A1">
        <w:rPr>
          <w:rFonts w:ascii="Times New Roman" w:hAnsi="Times New Roman"/>
        </w:rPr>
        <w:t>173 ss</w:t>
      </w:r>
      <w:r w:rsidRPr="002D36A1">
        <w:rPr>
          <w:rFonts w:ascii="Times New Roman" w:hAnsi="Times New Roman"/>
          <w:i/>
        </w:rPr>
        <w:t>.;</w:t>
      </w:r>
      <w:r w:rsidRPr="002D36A1">
        <w:rPr>
          <w:rFonts w:ascii="Times New Roman" w:hAnsi="Times New Roman"/>
        </w:rPr>
        <w:t xml:space="preserve"> F. GIGLIONI, </w:t>
      </w:r>
      <w:r w:rsidRPr="002D36A1">
        <w:rPr>
          <w:rFonts w:ascii="Times New Roman" w:hAnsi="Times New Roman"/>
          <w:i/>
        </w:rPr>
        <w:t xml:space="preserve">L’accesso al mercato nei servizi di interesse generale: una prospettiva per riconsiderare liberalizzazioni e servizi pubblici, </w:t>
      </w:r>
      <w:r w:rsidRPr="002D36A1">
        <w:rPr>
          <w:rFonts w:ascii="Times New Roman" w:hAnsi="Times New Roman"/>
        </w:rPr>
        <w:t xml:space="preserve">Milano, 2008, spec. </w:t>
      </w:r>
      <w:r w:rsidRPr="002D36A1">
        <w:rPr>
          <w:rFonts w:ascii="Times New Roman" w:hAnsi="Times New Roman"/>
          <w:lang w:val="fr-FR"/>
        </w:rPr>
        <w:t>205 ss.</w:t>
      </w:r>
      <w:r w:rsidR="007C272D" w:rsidRPr="002D36A1">
        <w:rPr>
          <w:rFonts w:ascii="Times New Roman" w:hAnsi="Times New Roman"/>
          <w:lang w:val="fr-FR"/>
        </w:rPr>
        <w:t xml:space="preserve"> ; </w:t>
      </w:r>
      <w:r w:rsidR="007C272D" w:rsidRPr="002D36A1">
        <w:rPr>
          <w:rFonts w:ascii="Times New Roman" w:hAnsi="Times New Roman"/>
        </w:rPr>
        <w:t xml:space="preserve">G. NAPOLITANO, </w:t>
      </w:r>
      <w:r w:rsidR="007C272D" w:rsidRPr="002D36A1">
        <w:rPr>
          <w:rFonts w:ascii="Times New Roman" w:hAnsi="Times New Roman"/>
          <w:i/>
        </w:rPr>
        <w:t xml:space="preserve">La logica del diritto amministrativo, </w:t>
      </w:r>
      <w:r w:rsidR="007C272D" w:rsidRPr="002D36A1">
        <w:rPr>
          <w:rFonts w:ascii="Times New Roman" w:hAnsi="Times New Roman"/>
        </w:rPr>
        <w:t>Bologna, 2014</w:t>
      </w:r>
      <w:r w:rsidR="007133E6" w:rsidRPr="002D36A1">
        <w:rPr>
          <w:rFonts w:ascii="Times New Roman" w:hAnsi="Times New Roman"/>
        </w:rPr>
        <w:t xml:space="preserve">, spec. </w:t>
      </w:r>
      <w:r w:rsidR="007133E6" w:rsidRPr="002D36A1">
        <w:rPr>
          <w:rFonts w:ascii="Times New Roman" w:hAnsi="Times New Roman"/>
          <w:i/>
        </w:rPr>
        <w:t>Introduzione</w:t>
      </w:r>
      <w:r w:rsidR="007133E6" w:rsidRPr="002D36A1">
        <w:rPr>
          <w:rFonts w:ascii="Times New Roman" w:hAnsi="Times New Roman"/>
        </w:rPr>
        <w:t>, XII-XIV</w:t>
      </w:r>
      <w:r w:rsidR="007C272D" w:rsidRPr="002D36A1">
        <w:rPr>
          <w:rFonts w:ascii="Times New Roman" w:hAnsi="Times New Roman"/>
        </w:rPr>
        <w:t>.</w:t>
      </w:r>
      <w:r w:rsidRPr="002D36A1">
        <w:rPr>
          <w:rFonts w:ascii="Times New Roman" w:hAnsi="Times New Roman"/>
          <w:lang w:val="fr-FR"/>
        </w:rPr>
        <w:t xml:space="preserve"> </w:t>
      </w:r>
      <w:r w:rsidRPr="002D36A1">
        <w:rPr>
          <w:rFonts w:ascii="Times New Roman" w:hAnsi="Times New Roman"/>
          <w:i/>
          <w:lang w:val="fr-FR"/>
        </w:rPr>
        <w:t xml:space="preserve"> </w:t>
      </w:r>
    </w:p>
  </w:footnote>
  <w:footnote w:id="31">
    <w:p w:rsidR="00221166" w:rsidRPr="002D36A1" w:rsidRDefault="00221166"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lang w:val="fr-FR"/>
        </w:rPr>
        <w:t xml:space="preserve"> v. F. GARTNER, </w:t>
      </w:r>
      <w:r w:rsidRPr="002D36A1">
        <w:rPr>
          <w:rFonts w:ascii="Times New Roman" w:hAnsi="Times New Roman"/>
          <w:i/>
          <w:lang w:val="fr-FR"/>
        </w:rPr>
        <w:t>Des rapports entre contrat administratifs et intérêt général</w:t>
      </w:r>
      <w:r w:rsidR="002F159F" w:rsidRPr="002D36A1">
        <w:rPr>
          <w:rFonts w:ascii="Times New Roman" w:hAnsi="Times New Roman"/>
          <w:i/>
          <w:lang w:val="fr-FR"/>
        </w:rPr>
        <w:t>…</w:t>
      </w:r>
      <w:r w:rsidRPr="002D36A1">
        <w:rPr>
          <w:rFonts w:ascii="Times New Roman" w:hAnsi="Times New Roman"/>
          <w:lang w:val="fr-FR"/>
        </w:rPr>
        <w:t xml:space="preserve"> </w:t>
      </w:r>
      <w:r w:rsidRPr="002D36A1">
        <w:rPr>
          <w:rFonts w:ascii="Times New Roman" w:hAnsi="Times New Roman"/>
        </w:rPr>
        <w:t>cit., 22-23.</w:t>
      </w:r>
    </w:p>
  </w:footnote>
  <w:footnote w:id="32">
    <w:p w:rsidR="00715770" w:rsidRPr="002D36A1" w:rsidRDefault="00715770"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v. C. PINELLI, </w:t>
      </w:r>
      <w:r w:rsidRPr="002D36A1">
        <w:rPr>
          <w:rFonts w:ascii="Times New Roman" w:hAnsi="Times New Roman"/>
          <w:i/>
        </w:rPr>
        <w:t>Attualità dell’art. 41 Cost., con particolare riferimento alla “utilità sociale”,</w:t>
      </w:r>
      <w:r w:rsidRPr="002D36A1">
        <w:rPr>
          <w:rFonts w:ascii="Times New Roman" w:hAnsi="Times New Roman"/>
        </w:rPr>
        <w:t xml:space="preserve"> in Id., </w:t>
      </w:r>
      <w:r w:rsidRPr="002D36A1">
        <w:rPr>
          <w:rFonts w:ascii="Times New Roman" w:hAnsi="Times New Roman"/>
          <w:i/>
        </w:rPr>
        <w:t>Nel lungo andare. Una costituzione alla prova dell’esperienza. Scritti scelti 1985-2011</w:t>
      </w:r>
      <w:r w:rsidR="008D09BA" w:rsidRPr="002D36A1">
        <w:rPr>
          <w:rFonts w:ascii="Times New Roman" w:hAnsi="Times New Roman"/>
          <w:i/>
        </w:rPr>
        <w:t xml:space="preserve">, </w:t>
      </w:r>
      <w:r w:rsidRPr="002D36A1">
        <w:rPr>
          <w:rFonts w:ascii="Times New Roman" w:hAnsi="Times New Roman"/>
        </w:rPr>
        <w:t xml:space="preserve">Napoli, 2012, 427 ss. </w:t>
      </w:r>
    </w:p>
  </w:footnote>
  <w:footnote w:id="33">
    <w:p w:rsidR="00D84681" w:rsidRPr="00E85F43" w:rsidRDefault="00D84681" w:rsidP="00D84681">
      <w:pPr>
        <w:pStyle w:val="Testonotaapidipagina"/>
        <w:ind w:left="567" w:right="567"/>
        <w:jc w:val="both"/>
      </w:pPr>
      <w:r w:rsidRPr="00D84681">
        <w:rPr>
          <w:rStyle w:val="Rimandonotaapidipagina"/>
          <w:rFonts w:ascii="Times New Roman" w:hAnsi="Times New Roman"/>
        </w:rPr>
        <w:footnoteRef/>
      </w:r>
      <w:r w:rsidRPr="00E85F43">
        <w:t xml:space="preserve"> </w:t>
      </w:r>
      <w:r w:rsidRPr="00D84681">
        <w:rPr>
          <w:rFonts w:ascii="Times New Roman" w:hAnsi="Times New Roman"/>
        </w:rPr>
        <w:t xml:space="preserve">Soprattutto l’attribuzione del potere per un interesse fa percepire perché la legge abbia strappato il tessuto della parità insita nel diritto dei privati e abbia attribuito ad un diverso soggetto, l’amministrazione, un potere esorbitante – v. </w:t>
      </w:r>
      <w:r w:rsidRPr="00D84681">
        <w:rPr>
          <w:rFonts w:ascii="Times New Roman" w:hAnsi="Times New Roman"/>
          <w:iCs/>
        </w:rPr>
        <w:t xml:space="preserve">ALB. ROMANO, </w:t>
      </w:r>
      <w:r w:rsidRPr="00D84681">
        <w:rPr>
          <w:rFonts w:ascii="Times New Roman" w:hAnsi="Times New Roman"/>
          <w:i/>
          <w:iCs/>
        </w:rPr>
        <w:t xml:space="preserve">La nullità del provvedimento amministrativo … </w:t>
      </w:r>
      <w:r w:rsidRPr="00D84681">
        <w:rPr>
          <w:rFonts w:ascii="Times New Roman" w:hAnsi="Times New Roman"/>
          <w:iCs/>
        </w:rPr>
        <w:t xml:space="preserve">cit., 814- 815: è la maggior rilevanza degli interessi pubblici che costituisce la “causa dell’attribuzione” dei poteri e fa avvertire la deroga e la rottura ai principi di consensualità e di parità; e che, infine, porta ad  una precisa definizione dei poteri: per esempio  il legislatore non può attribuire un potere unilaterale senza indicare le strutture soggettivate cui lo riferisce o senza circoscriverne l’oggetto; ovvero, non vi è attribuzione che non indichi gli elementi essenziali. </w:t>
      </w:r>
    </w:p>
  </w:footnote>
  <w:footnote w:id="34">
    <w:p w:rsidR="00932033" w:rsidRPr="002D36A1" w:rsidRDefault="00932033"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00D84681">
        <w:rPr>
          <w:rFonts w:ascii="Times New Roman" w:hAnsi="Times New Roman"/>
        </w:rPr>
        <w:t xml:space="preserve"> </w:t>
      </w:r>
      <w:r w:rsidRPr="002D36A1">
        <w:rPr>
          <w:rFonts w:ascii="Times New Roman" w:hAnsi="Times New Roman"/>
        </w:rPr>
        <w:t xml:space="preserve">v. ALB. ROMANO, </w:t>
      </w:r>
      <w:r w:rsidRPr="002D36A1">
        <w:rPr>
          <w:rFonts w:ascii="Times New Roman" w:hAnsi="Times New Roman"/>
          <w:i/>
        </w:rPr>
        <w:t>La nullità del provvedimento amministrativo</w:t>
      </w:r>
      <w:r w:rsidR="0078312B">
        <w:rPr>
          <w:rFonts w:ascii="Times New Roman" w:hAnsi="Times New Roman"/>
          <w:i/>
        </w:rPr>
        <w:t xml:space="preserve"> </w:t>
      </w:r>
      <w:r w:rsidRPr="002D36A1">
        <w:rPr>
          <w:rFonts w:ascii="Times New Roman" w:hAnsi="Times New Roman"/>
          <w:i/>
        </w:rPr>
        <w:t>…</w:t>
      </w:r>
      <w:r w:rsidR="0078312B">
        <w:rPr>
          <w:rFonts w:ascii="Times New Roman" w:hAnsi="Times New Roman"/>
          <w:i/>
        </w:rPr>
        <w:t xml:space="preserve"> </w:t>
      </w:r>
      <w:r w:rsidRPr="002D36A1">
        <w:rPr>
          <w:rFonts w:ascii="Times New Roman" w:hAnsi="Times New Roman"/>
        </w:rPr>
        <w:t>cit.,</w:t>
      </w:r>
      <w:r w:rsidR="0078312B">
        <w:rPr>
          <w:rFonts w:ascii="Times New Roman" w:hAnsi="Times New Roman"/>
        </w:rPr>
        <w:t xml:space="preserve"> </w:t>
      </w:r>
      <w:r w:rsidRPr="002D36A1">
        <w:rPr>
          <w:rFonts w:ascii="Times New Roman" w:hAnsi="Times New Roman"/>
        </w:rPr>
        <w:t xml:space="preserve">814-819, ove la considerazione che gli assetti e i limiti delle capacità giuridiche dei soggetti sono definiti dall’ordinamento generale e si traducono in limiti di esistenza degli atti che siano esplicazione di quelle capacità. </w:t>
      </w:r>
      <w:r w:rsidRPr="002D36A1">
        <w:rPr>
          <w:rFonts w:ascii="Times New Roman" w:hAnsi="Times New Roman"/>
          <w:lang w:val="fr-FR"/>
        </w:rPr>
        <w:t xml:space="preserve">Nello stesso senso v. D. TRUCHET, </w:t>
      </w:r>
      <w:r w:rsidRPr="002D36A1">
        <w:rPr>
          <w:rFonts w:ascii="Times New Roman" w:hAnsi="Times New Roman"/>
          <w:i/>
          <w:lang w:val="fr-FR"/>
        </w:rPr>
        <w:t xml:space="preserve">Les fonctions de la notion d’intérêt général dans la jurisprudence du Conseil d’État, </w:t>
      </w:r>
      <w:r w:rsidRPr="002D36A1">
        <w:rPr>
          <w:rFonts w:ascii="Times New Roman" w:hAnsi="Times New Roman"/>
          <w:lang w:val="fr-FR"/>
        </w:rPr>
        <w:t xml:space="preserve">Paris, LGDJ, 1977, 189 ss. </w:t>
      </w:r>
    </w:p>
  </w:footnote>
  <w:footnote w:id="35">
    <w:p w:rsidR="008D09BA" w:rsidRPr="002D36A1" w:rsidRDefault="008D09BA"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Per una rilettura della formula “E’</w:t>
      </w:r>
      <w:r w:rsidR="00CB49C9">
        <w:rPr>
          <w:rFonts w:ascii="Times New Roman" w:hAnsi="Times New Roman"/>
        </w:rPr>
        <w:t xml:space="preserve"> </w:t>
      </w:r>
      <w:r w:rsidRPr="002D36A1">
        <w:rPr>
          <w:rFonts w:ascii="Times New Roman" w:hAnsi="Times New Roman"/>
        </w:rPr>
        <w:t xml:space="preserve">permesso tutto ciò che non è vietato” v. G. FONDERICO, </w:t>
      </w:r>
      <w:r w:rsidRPr="002D36A1">
        <w:rPr>
          <w:rFonts w:ascii="Times New Roman" w:hAnsi="Times New Roman"/>
          <w:i/>
        </w:rPr>
        <w:t>Libertà economica e controlli amministrativi</w:t>
      </w:r>
      <w:r w:rsidRPr="002D36A1">
        <w:rPr>
          <w:rFonts w:ascii="Times New Roman" w:hAnsi="Times New Roman"/>
        </w:rPr>
        <w:t xml:space="preserve">, </w:t>
      </w:r>
      <w:r w:rsidRPr="002D36A1">
        <w:rPr>
          <w:rFonts w:ascii="Times New Roman" w:hAnsi="Times New Roman"/>
          <w:i/>
        </w:rPr>
        <w:t xml:space="preserve">Giornale di dir. amm., </w:t>
      </w:r>
      <w:r w:rsidRPr="002D36A1">
        <w:rPr>
          <w:rFonts w:ascii="Times New Roman" w:hAnsi="Times New Roman"/>
        </w:rPr>
        <w:t xml:space="preserve">2012, 18 ss. </w:t>
      </w:r>
    </w:p>
  </w:footnote>
  <w:footnote w:id="36">
    <w:p w:rsidR="00C81FE7" w:rsidRPr="002D36A1" w:rsidRDefault="00C81FE7" w:rsidP="00AB24E7">
      <w:pPr>
        <w:pStyle w:val="Testonotaapidipagina"/>
        <w:ind w:left="567" w:right="567"/>
        <w:jc w:val="both"/>
        <w:rPr>
          <w:rFonts w:ascii="Times New Roman" w:hAnsi="Times New Roman"/>
        </w:rPr>
      </w:pPr>
      <w:r w:rsidRPr="002D36A1">
        <w:rPr>
          <w:rStyle w:val="Rimandonotaapidipagina"/>
          <w:rFonts w:ascii="Times New Roman" w:hAnsi="Times New Roman"/>
        </w:rPr>
        <w:footnoteRef/>
      </w:r>
      <w:r w:rsidRPr="002D36A1">
        <w:rPr>
          <w:rFonts w:ascii="Times New Roman" w:hAnsi="Times New Roman"/>
        </w:rPr>
        <w:t xml:space="preserve"> Per l’identificazione dell’interesse generale e dell’interesse pubblico secondo un certo tipo di processo</w:t>
      </w:r>
      <w:r w:rsidR="002D36A1" w:rsidRPr="002D36A1">
        <w:rPr>
          <w:rFonts w:ascii="Times New Roman" w:hAnsi="Times New Roman"/>
        </w:rPr>
        <w:t>,</w:t>
      </w:r>
      <w:r w:rsidR="00AB24E7">
        <w:rPr>
          <w:rFonts w:ascii="Times New Roman" w:hAnsi="Times New Roman"/>
        </w:rPr>
        <w:t xml:space="preserve"> che passa da una parte istituzionale al tutto, secondo un processo</w:t>
      </w:r>
      <w:r w:rsidRPr="002D36A1">
        <w:rPr>
          <w:rFonts w:ascii="Times New Roman" w:hAnsi="Times New Roman"/>
        </w:rPr>
        <w:t xml:space="preserve"> non solo legislativo ma altresì </w:t>
      </w:r>
      <w:r w:rsidR="00AB24E7">
        <w:rPr>
          <w:rFonts w:ascii="Times New Roman" w:hAnsi="Times New Roman"/>
        </w:rPr>
        <w:t>considerabile nell’intero ordinamento giuridico</w:t>
      </w:r>
      <w:r w:rsidRPr="002D36A1">
        <w:rPr>
          <w:rFonts w:ascii="Times New Roman" w:hAnsi="Times New Roman"/>
        </w:rPr>
        <w:t xml:space="preserve"> cfr. W. CESARINI SFORZA, </w:t>
      </w:r>
      <w:r w:rsidRPr="002D36A1">
        <w:rPr>
          <w:rFonts w:ascii="Times New Roman" w:hAnsi="Times New Roman"/>
          <w:i/>
        </w:rPr>
        <w:t xml:space="preserve">Sul concetto di interesse generale </w:t>
      </w:r>
      <w:r w:rsidRPr="002D36A1">
        <w:rPr>
          <w:rFonts w:ascii="Times New Roman" w:hAnsi="Times New Roman"/>
        </w:rPr>
        <w:t>… cit., 280: “il problema di obbiettivare le scelte politiche ed economiche, istituzionalizzando, per così dire, il salto dalla «collettività</w:t>
      </w:r>
      <w:r w:rsidRPr="002D36A1">
        <w:rPr>
          <w:rFonts w:ascii="Times New Roman" w:hAnsi="Times New Roman"/>
          <w:lang w:val="fr-FR"/>
        </w:rPr>
        <w:t xml:space="preserve">» al </w:t>
      </w:r>
      <w:r w:rsidRPr="002D36A1">
        <w:rPr>
          <w:rFonts w:ascii="Times New Roman" w:hAnsi="Times New Roman"/>
        </w:rPr>
        <w:t>«tutto</w:t>
      </w:r>
      <w:r w:rsidRPr="002D36A1">
        <w:rPr>
          <w:rFonts w:ascii="Times New Roman" w:hAnsi="Times New Roman"/>
          <w:lang w:val="fr-FR"/>
        </w:rPr>
        <w:t>», risulta dal trasferimento sul piano sociale – concependolo cioè in termini di socialità- di un processo spirituale subbiettivo, mediante il quale il problema viene di continuo posto e di continuo risolto, mentre, con quel trasferimento, esso ancora sussite ma non è più risolvibile</w:t>
      </w:r>
      <w:r w:rsidRPr="002D36A1">
        <w:rPr>
          <w:rFonts w:ascii="Times New Roman" w:hAnsi="Times New Roman"/>
        </w:rPr>
        <w:t xml:space="preserve">.”; per l’affermazione che l’autotutela è permessa quando vi sia un interesse forte del soggetto v. B. G. MATTARELLA, </w:t>
      </w:r>
      <w:r w:rsidRPr="002D36A1">
        <w:rPr>
          <w:rFonts w:ascii="Times New Roman" w:hAnsi="Times New Roman"/>
          <w:i/>
        </w:rPr>
        <w:t xml:space="preserve">Autotutela amministrativa e principio di legalità </w:t>
      </w:r>
      <w:r w:rsidRPr="002D36A1">
        <w:rPr>
          <w:rFonts w:ascii="Times New Roman" w:hAnsi="Times New Roman"/>
        </w:rPr>
        <w:t xml:space="preserve">… cit., 1228.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122EF"/>
    <w:multiLevelType w:val="hybridMultilevel"/>
    <w:tmpl w:val="F28807EA"/>
    <w:lvl w:ilvl="0" w:tplc="07AA855E">
      <w:start w:val="1"/>
      <w:numFmt w:val="decimal"/>
      <w:lvlText w:val="%1."/>
      <w:lvlJc w:val="left"/>
      <w:pPr>
        <w:ind w:left="987" w:hanging="360"/>
      </w:pPr>
      <w:rPr>
        <w:rFonts w:hint="default"/>
      </w:rPr>
    </w:lvl>
    <w:lvl w:ilvl="1" w:tplc="04100019" w:tentative="1">
      <w:start w:val="1"/>
      <w:numFmt w:val="lowerLetter"/>
      <w:lvlText w:val="%2."/>
      <w:lvlJc w:val="left"/>
      <w:pPr>
        <w:ind w:left="1707" w:hanging="360"/>
      </w:pPr>
    </w:lvl>
    <w:lvl w:ilvl="2" w:tplc="0410001B" w:tentative="1">
      <w:start w:val="1"/>
      <w:numFmt w:val="lowerRoman"/>
      <w:lvlText w:val="%3."/>
      <w:lvlJc w:val="right"/>
      <w:pPr>
        <w:ind w:left="2427" w:hanging="180"/>
      </w:pPr>
    </w:lvl>
    <w:lvl w:ilvl="3" w:tplc="0410000F" w:tentative="1">
      <w:start w:val="1"/>
      <w:numFmt w:val="decimal"/>
      <w:lvlText w:val="%4."/>
      <w:lvlJc w:val="left"/>
      <w:pPr>
        <w:ind w:left="3147" w:hanging="360"/>
      </w:pPr>
    </w:lvl>
    <w:lvl w:ilvl="4" w:tplc="04100019" w:tentative="1">
      <w:start w:val="1"/>
      <w:numFmt w:val="lowerLetter"/>
      <w:lvlText w:val="%5."/>
      <w:lvlJc w:val="left"/>
      <w:pPr>
        <w:ind w:left="3867" w:hanging="360"/>
      </w:pPr>
    </w:lvl>
    <w:lvl w:ilvl="5" w:tplc="0410001B" w:tentative="1">
      <w:start w:val="1"/>
      <w:numFmt w:val="lowerRoman"/>
      <w:lvlText w:val="%6."/>
      <w:lvlJc w:val="right"/>
      <w:pPr>
        <w:ind w:left="4587" w:hanging="180"/>
      </w:pPr>
    </w:lvl>
    <w:lvl w:ilvl="6" w:tplc="0410000F" w:tentative="1">
      <w:start w:val="1"/>
      <w:numFmt w:val="decimal"/>
      <w:lvlText w:val="%7."/>
      <w:lvlJc w:val="left"/>
      <w:pPr>
        <w:ind w:left="5307" w:hanging="360"/>
      </w:pPr>
    </w:lvl>
    <w:lvl w:ilvl="7" w:tplc="04100019" w:tentative="1">
      <w:start w:val="1"/>
      <w:numFmt w:val="lowerLetter"/>
      <w:lvlText w:val="%8."/>
      <w:lvlJc w:val="left"/>
      <w:pPr>
        <w:ind w:left="6027" w:hanging="360"/>
      </w:pPr>
    </w:lvl>
    <w:lvl w:ilvl="8" w:tplc="0410001B" w:tentative="1">
      <w:start w:val="1"/>
      <w:numFmt w:val="lowerRoman"/>
      <w:lvlText w:val="%9."/>
      <w:lvlJc w:val="right"/>
      <w:pPr>
        <w:ind w:left="67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BA"/>
    <w:rsid w:val="0002513B"/>
    <w:rsid w:val="0003557C"/>
    <w:rsid w:val="00041389"/>
    <w:rsid w:val="0004291B"/>
    <w:rsid w:val="00046C5D"/>
    <w:rsid w:val="00057E2F"/>
    <w:rsid w:val="000737BE"/>
    <w:rsid w:val="000A044B"/>
    <w:rsid w:val="000A2CA7"/>
    <w:rsid w:val="000B32A2"/>
    <w:rsid w:val="000E71E8"/>
    <w:rsid w:val="000F5744"/>
    <w:rsid w:val="00106226"/>
    <w:rsid w:val="00114917"/>
    <w:rsid w:val="00116F55"/>
    <w:rsid w:val="00126F9B"/>
    <w:rsid w:val="00142214"/>
    <w:rsid w:val="00145BEE"/>
    <w:rsid w:val="0015618C"/>
    <w:rsid w:val="00165F4A"/>
    <w:rsid w:val="00172263"/>
    <w:rsid w:val="0017348A"/>
    <w:rsid w:val="00175B7C"/>
    <w:rsid w:val="001B5AB7"/>
    <w:rsid w:val="001C30DD"/>
    <w:rsid w:val="001C4759"/>
    <w:rsid w:val="001D6903"/>
    <w:rsid w:val="002064CD"/>
    <w:rsid w:val="00215FE3"/>
    <w:rsid w:val="00221166"/>
    <w:rsid w:val="0022569B"/>
    <w:rsid w:val="00235A22"/>
    <w:rsid w:val="00241604"/>
    <w:rsid w:val="0024240F"/>
    <w:rsid w:val="0024584D"/>
    <w:rsid w:val="002639D8"/>
    <w:rsid w:val="002645DA"/>
    <w:rsid w:val="002B592A"/>
    <w:rsid w:val="002C5CE2"/>
    <w:rsid w:val="002D36A1"/>
    <w:rsid w:val="002D4591"/>
    <w:rsid w:val="002E24BA"/>
    <w:rsid w:val="002E4CD2"/>
    <w:rsid w:val="002E7D47"/>
    <w:rsid w:val="002F159F"/>
    <w:rsid w:val="002F2B09"/>
    <w:rsid w:val="002F7138"/>
    <w:rsid w:val="0031601A"/>
    <w:rsid w:val="00332BDF"/>
    <w:rsid w:val="00355C48"/>
    <w:rsid w:val="00362A4D"/>
    <w:rsid w:val="00375FBA"/>
    <w:rsid w:val="00387001"/>
    <w:rsid w:val="00391647"/>
    <w:rsid w:val="00395AC6"/>
    <w:rsid w:val="003B3D37"/>
    <w:rsid w:val="003B561F"/>
    <w:rsid w:val="003B68D4"/>
    <w:rsid w:val="003C0764"/>
    <w:rsid w:val="003C4362"/>
    <w:rsid w:val="003C7833"/>
    <w:rsid w:val="003D3C65"/>
    <w:rsid w:val="003F22D5"/>
    <w:rsid w:val="00404061"/>
    <w:rsid w:val="00413006"/>
    <w:rsid w:val="004235FD"/>
    <w:rsid w:val="0043152F"/>
    <w:rsid w:val="004363B0"/>
    <w:rsid w:val="00447A4E"/>
    <w:rsid w:val="00447CAC"/>
    <w:rsid w:val="004506BE"/>
    <w:rsid w:val="00460A49"/>
    <w:rsid w:val="004801F7"/>
    <w:rsid w:val="0049059C"/>
    <w:rsid w:val="004B49D2"/>
    <w:rsid w:val="004B70E1"/>
    <w:rsid w:val="004C69EF"/>
    <w:rsid w:val="004D3F29"/>
    <w:rsid w:val="004D7B40"/>
    <w:rsid w:val="004E0C54"/>
    <w:rsid w:val="004E4382"/>
    <w:rsid w:val="004F1812"/>
    <w:rsid w:val="005068EE"/>
    <w:rsid w:val="00507E4E"/>
    <w:rsid w:val="00515516"/>
    <w:rsid w:val="00515F01"/>
    <w:rsid w:val="00516DA8"/>
    <w:rsid w:val="0051784B"/>
    <w:rsid w:val="005239D3"/>
    <w:rsid w:val="0053032D"/>
    <w:rsid w:val="005304EE"/>
    <w:rsid w:val="00540546"/>
    <w:rsid w:val="0054595C"/>
    <w:rsid w:val="00552675"/>
    <w:rsid w:val="0055392D"/>
    <w:rsid w:val="00553A92"/>
    <w:rsid w:val="00553C86"/>
    <w:rsid w:val="00561FE6"/>
    <w:rsid w:val="00597755"/>
    <w:rsid w:val="005A4AC7"/>
    <w:rsid w:val="005B4964"/>
    <w:rsid w:val="005C4F53"/>
    <w:rsid w:val="005F27E4"/>
    <w:rsid w:val="00612D7B"/>
    <w:rsid w:val="00612EB5"/>
    <w:rsid w:val="006146D4"/>
    <w:rsid w:val="006257B0"/>
    <w:rsid w:val="00630101"/>
    <w:rsid w:val="00632CAB"/>
    <w:rsid w:val="00634249"/>
    <w:rsid w:val="0063698A"/>
    <w:rsid w:val="00667C08"/>
    <w:rsid w:val="006701CF"/>
    <w:rsid w:val="00692DF1"/>
    <w:rsid w:val="00697DEA"/>
    <w:rsid w:val="006A31D3"/>
    <w:rsid w:val="006A33A4"/>
    <w:rsid w:val="006B66B8"/>
    <w:rsid w:val="006C6AD6"/>
    <w:rsid w:val="006D5AC5"/>
    <w:rsid w:val="006D7DE4"/>
    <w:rsid w:val="006E7BAF"/>
    <w:rsid w:val="00701C36"/>
    <w:rsid w:val="00705796"/>
    <w:rsid w:val="00712489"/>
    <w:rsid w:val="007133E6"/>
    <w:rsid w:val="00715770"/>
    <w:rsid w:val="0072299A"/>
    <w:rsid w:val="00737BD8"/>
    <w:rsid w:val="00740B43"/>
    <w:rsid w:val="00744BD8"/>
    <w:rsid w:val="00746E63"/>
    <w:rsid w:val="00747297"/>
    <w:rsid w:val="007650CC"/>
    <w:rsid w:val="00765478"/>
    <w:rsid w:val="00770A8A"/>
    <w:rsid w:val="007763EF"/>
    <w:rsid w:val="0078312B"/>
    <w:rsid w:val="00785A30"/>
    <w:rsid w:val="00785F33"/>
    <w:rsid w:val="0078640E"/>
    <w:rsid w:val="00794376"/>
    <w:rsid w:val="007B0A8D"/>
    <w:rsid w:val="007B12ED"/>
    <w:rsid w:val="007C272D"/>
    <w:rsid w:val="007C2BAC"/>
    <w:rsid w:val="007C6B93"/>
    <w:rsid w:val="007E2688"/>
    <w:rsid w:val="007F26D2"/>
    <w:rsid w:val="007F6ADB"/>
    <w:rsid w:val="0081259E"/>
    <w:rsid w:val="00831D3D"/>
    <w:rsid w:val="008A1B24"/>
    <w:rsid w:val="008A616B"/>
    <w:rsid w:val="008B064D"/>
    <w:rsid w:val="008C422E"/>
    <w:rsid w:val="008D09BA"/>
    <w:rsid w:val="008D1993"/>
    <w:rsid w:val="008D6C63"/>
    <w:rsid w:val="008E22A6"/>
    <w:rsid w:val="008E4D1C"/>
    <w:rsid w:val="0091375A"/>
    <w:rsid w:val="009137B9"/>
    <w:rsid w:val="00932033"/>
    <w:rsid w:val="009376E5"/>
    <w:rsid w:val="00940CEB"/>
    <w:rsid w:val="0095180F"/>
    <w:rsid w:val="00955854"/>
    <w:rsid w:val="00956A68"/>
    <w:rsid w:val="00984AA7"/>
    <w:rsid w:val="009977DD"/>
    <w:rsid w:val="009A2DBC"/>
    <w:rsid w:val="009A52B2"/>
    <w:rsid w:val="009B05DD"/>
    <w:rsid w:val="009C3FF9"/>
    <w:rsid w:val="009D3520"/>
    <w:rsid w:val="009D5067"/>
    <w:rsid w:val="009E0AF6"/>
    <w:rsid w:val="009E59BA"/>
    <w:rsid w:val="009F40A5"/>
    <w:rsid w:val="009F7EA2"/>
    <w:rsid w:val="00A030B1"/>
    <w:rsid w:val="00A04E04"/>
    <w:rsid w:val="00A149AC"/>
    <w:rsid w:val="00A27397"/>
    <w:rsid w:val="00A3640B"/>
    <w:rsid w:val="00A36D25"/>
    <w:rsid w:val="00A405C5"/>
    <w:rsid w:val="00A5699B"/>
    <w:rsid w:val="00AA2353"/>
    <w:rsid w:val="00AA3D29"/>
    <w:rsid w:val="00AA5B62"/>
    <w:rsid w:val="00AB24E7"/>
    <w:rsid w:val="00AC306E"/>
    <w:rsid w:val="00AC3785"/>
    <w:rsid w:val="00AD1869"/>
    <w:rsid w:val="00AE627F"/>
    <w:rsid w:val="00B249A6"/>
    <w:rsid w:val="00B32AB0"/>
    <w:rsid w:val="00B521AB"/>
    <w:rsid w:val="00B53206"/>
    <w:rsid w:val="00B57ED3"/>
    <w:rsid w:val="00B629B8"/>
    <w:rsid w:val="00B65DEB"/>
    <w:rsid w:val="00B761F8"/>
    <w:rsid w:val="00B869D2"/>
    <w:rsid w:val="00BC0795"/>
    <w:rsid w:val="00BC1D87"/>
    <w:rsid w:val="00BC486A"/>
    <w:rsid w:val="00BE15F7"/>
    <w:rsid w:val="00BE2B72"/>
    <w:rsid w:val="00BF0DAE"/>
    <w:rsid w:val="00C04B1E"/>
    <w:rsid w:val="00C10D84"/>
    <w:rsid w:val="00C25938"/>
    <w:rsid w:val="00C36D9A"/>
    <w:rsid w:val="00C4148D"/>
    <w:rsid w:val="00C634FE"/>
    <w:rsid w:val="00C65164"/>
    <w:rsid w:val="00C74C4C"/>
    <w:rsid w:val="00C81FE7"/>
    <w:rsid w:val="00C96E23"/>
    <w:rsid w:val="00CB49C9"/>
    <w:rsid w:val="00CD42B9"/>
    <w:rsid w:val="00CE0BED"/>
    <w:rsid w:val="00CE5C98"/>
    <w:rsid w:val="00CF3178"/>
    <w:rsid w:val="00CF35A4"/>
    <w:rsid w:val="00D01384"/>
    <w:rsid w:val="00D10D52"/>
    <w:rsid w:val="00D12E8C"/>
    <w:rsid w:val="00D34ABE"/>
    <w:rsid w:val="00D36BAF"/>
    <w:rsid w:val="00D64EF6"/>
    <w:rsid w:val="00D84681"/>
    <w:rsid w:val="00D922A8"/>
    <w:rsid w:val="00D95CD2"/>
    <w:rsid w:val="00DB7C03"/>
    <w:rsid w:val="00DC3EAE"/>
    <w:rsid w:val="00DD329C"/>
    <w:rsid w:val="00DD6CD7"/>
    <w:rsid w:val="00DF7D7E"/>
    <w:rsid w:val="00E03448"/>
    <w:rsid w:val="00E16260"/>
    <w:rsid w:val="00E22DF6"/>
    <w:rsid w:val="00E22F2E"/>
    <w:rsid w:val="00E22F90"/>
    <w:rsid w:val="00E33ECF"/>
    <w:rsid w:val="00E57E57"/>
    <w:rsid w:val="00E620FA"/>
    <w:rsid w:val="00E90EDD"/>
    <w:rsid w:val="00E924BE"/>
    <w:rsid w:val="00EC13E7"/>
    <w:rsid w:val="00EC2F59"/>
    <w:rsid w:val="00EF4A8F"/>
    <w:rsid w:val="00F2430F"/>
    <w:rsid w:val="00F33A6A"/>
    <w:rsid w:val="00F35DB6"/>
    <w:rsid w:val="00F5003C"/>
    <w:rsid w:val="00F664C5"/>
    <w:rsid w:val="00F7217B"/>
    <w:rsid w:val="00F86D05"/>
    <w:rsid w:val="00F90BA4"/>
    <w:rsid w:val="00F97919"/>
    <w:rsid w:val="00FA7A94"/>
    <w:rsid w:val="00FE4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5DA"/>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CF35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F35A4"/>
    <w:rPr>
      <w:rFonts w:cs="Times New Roman"/>
      <w:sz w:val="20"/>
      <w:szCs w:val="20"/>
    </w:rPr>
  </w:style>
  <w:style w:type="character" w:styleId="Rimandonotaapidipagina">
    <w:name w:val="footnote reference"/>
    <w:basedOn w:val="Carpredefinitoparagrafo"/>
    <w:uiPriority w:val="99"/>
    <w:semiHidden/>
    <w:rsid w:val="00CF35A4"/>
    <w:rPr>
      <w:rFonts w:cs="Times New Roman"/>
      <w:vertAlign w:val="superscript"/>
    </w:rPr>
  </w:style>
  <w:style w:type="paragraph" w:styleId="Paragrafoelenco">
    <w:name w:val="List Paragraph"/>
    <w:basedOn w:val="Normale"/>
    <w:uiPriority w:val="34"/>
    <w:qFormat/>
    <w:rsid w:val="0078312B"/>
    <w:pPr>
      <w:ind w:left="720"/>
      <w:contextualSpacing/>
    </w:pPr>
  </w:style>
  <w:style w:type="paragraph" w:styleId="Intestazione">
    <w:name w:val="header"/>
    <w:basedOn w:val="Normale"/>
    <w:link w:val="IntestazioneCarattere"/>
    <w:uiPriority w:val="99"/>
    <w:semiHidden/>
    <w:unhideWhenUsed/>
    <w:rsid w:val="00667C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67C08"/>
    <w:rPr>
      <w:lang w:eastAsia="en-US"/>
    </w:rPr>
  </w:style>
  <w:style w:type="paragraph" w:styleId="Pidipagina">
    <w:name w:val="footer"/>
    <w:basedOn w:val="Normale"/>
    <w:link w:val="PidipaginaCarattere"/>
    <w:uiPriority w:val="99"/>
    <w:unhideWhenUsed/>
    <w:rsid w:val="00667C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7C0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5DA"/>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CF35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F35A4"/>
    <w:rPr>
      <w:rFonts w:cs="Times New Roman"/>
      <w:sz w:val="20"/>
      <w:szCs w:val="20"/>
    </w:rPr>
  </w:style>
  <w:style w:type="character" w:styleId="Rimandonotaapidipagina">
    <w:name w:val="footnote reference"/>
    <w:basedOn w:val="Carpredefinitoparagrafo"/>
    <w:uiPriority w:val="99"/>
    <w:semiHidden/>
    <w:rsid w:val="00CF35A4"/>
    <w:rPr>
      <w:rFonts w:cs="Times New Roman"/>
      <w:vertAlign w:val="superscript"/>
    </w:rPr>
  </w:style>
  <w:style w:type="paragraph" w:styleId="Paragrafoelenco">
    <w:name w:val="List Paragraph"/>
    <w:basedOn w:val="Normale"/>
    <w:uiPriority w:val="34"/>
    <w:qFormat/>
    <w:rsid w:val="0078312B"/>
    <w:pPr>
      <w:ind w:left="720"/>
      <w:contextualSpacing/>
    </w:pPr>
  </w:style>
  <w:style w:type="paragraph" w:styleId="Intestazione">
    <w:name w:val="header"/>
    <w:basedOn w:val="Normale"/>
    <w:link w:val="IntestazioneCarattere"/>
    <w:uiPriority w:val="99"/>
    <w:semiHidden/>
    <w:unhideWhenUsed/>
    <w:rsid w:val="00667C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67C08"/>
    <w:rPr>
      <w:lang w:eastAsia="en-US"/>
    </w:rPr>
  </w:style>
  <w:style w:type="paragraph" w:styleId="Pidipagina">
    <w:name w:val="footer"/>
    <w:basedOn w:val="Normale"/>
    <w:link w:val="PidipaginaCarattere"/>
    <w:uiPriority w:val="99"/>
    <w:unhideWhenUsed/>
    <w:rsid w:val="00667C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7C0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2016-04-22T14:11:00Z</cp:lastPrinted>
  <dcterms:created xsi:type="dcterms:W3CDTF">2016-05-01T14:16:00Z</dcterms:created>
  <dcterms:modified xsi:type="dcterms:W3CDTF">2016-05-01T14:16:00Z</dcterms:modified>
</cp:coreProperties>
</file>